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4C1" w:rsidRPr="000A327C" w:rsidRDefault="000A327C" w:rsidP="000A327C">
      <w:pPr>
        <w:jc w:val="center"/>
        <w:rPr>
          <w:rFonts w:hint="eastAsia"/>
          <w:sz w:val="28"/>
          <w:szCs w:val="28"/>
        </w:rPr>
      </w:pPr>
      <w:r w:rsidRPr="000A327C">
        <w:rPr>
          <w:rFonts w:hint="eastAsia"/>
          <w:sz w:val="28"/>
          <w:szCs w:val="28"/>
        </w:rPr>
        <w:t>第十一章</w:t>
      </w:r>
      <w:r w:rsidRPr="000A327C">
        <w:rPr>
          <w:rFonts w:hint="eastAsia"/>
          <w:sz w:val="28"/>
          <w:szCs w:val="28"/>
        </w:rPr>
        <w:t xml:space="preserve"> </w:t>
      </w:r>
      <w:r w:rsidRPr="000A327C">
        <w:rPr>
          <w:rFonts w:hint="eastAsia"/>
          <w:sz w:val="28"/>
          <w:szCs w:val="28"/>
        </w:rPr>
        <w:t>案例分析</w:t>
      </w:r>
    </w:p>
    <w:p w:rsidR="000A327C" w:rsidRPr="000A327C" w:rsidRDefault="000A327C">
      <w:pPr>
        <w:rPr>
          <w:rFonts w:hint="eastAsia"/>
          <w:szCs w:val="21"/>
        </w:rPr>
      </w:pPr>
      <w:r w:rsidRPr="000A327C">
        <w:rPr>
          <w:rFonts w:hint="eastAsia"/>
          <w:szCs w:val="21"/>
        </w:rPr>
        <w:t>案例：</w:t>
      </w:r>
      <w:r w:rsidRPr="000A327C">
        <w:rPr>
          <w:rFonts w:hint="eastAsia"/>
          <w:szCs w:val="21"/>
        </w:rPr>
        <w:t>A</w:t>
      </w:r>
      <w:r w:rsidRPr="000A327C">
        <w:rPr>
          <w:rFonts w:hint="eastAsia"/>
          <w:szCs w:val="21"/>
        </w:rPr>
        <w:t>公司的</w:t>
      </w:r>
      <w:r w:rsidRPr="000A327C">
        <w:rPr>
          <w:rFonts w:hint="eastAsia"/>
          <w:szCs w:val="21"/>
        </w:rPr>
        <w:t>2013-2014</w:t>
      </w:r>
      <w:r w:rsidRPr="000A327C">
        <w:rPr>
          <w:rFonts w:hint="eastAsia"/>
          <w:szCs w:val="21"/>
        </w:rPr>
        <w:t>年的基本财务数据如下：</w:t>
      </w:r>
      <w:bookmarkStart w:id="0" w:name="_GoBack"/>
      <w:bookmarkEnd w:id="0"/>
    </w:p>
    <w:p w:rsidR="000A327C" w:rsidRPr="000A327C" w:rsidRDefault="000A327C" w:rsidP="000A327C">
      <w:pPr>
        <w:jc w:val="center"/>
        <w:rPr>
          <w:rFonts w:hint="eastAsia"/>
          <w:szCs w:val="21"/>
        </w:rPr>
      </w:pPr>
      <w:r w:rsidRPr="000A327C">
        <w:rPr>
          <w:rFonts w:hint="eastAsia"/>
          <w:szCs w:val="21"/>
        </w:rPr>
        <w:t>表</w:t>
      </w:r>
      <w:r w:rsidRPr="000A327C">
        <w:rPr>
          <w:rFonts w:hint="eastAsia"/>
          <w:szCs w:val="21"/>
        </w:rPr>
        <w:t>1 A</w:t>
      </w:r>
      <w:r w:rsidRPr="000A327C">
        <w:rPr>
          <w:rFonts w:hint="eastAsia"/>
          <w:szCs w:val="21"/>
        </w:rPr>
        <w:t>公司</w:t>
      </w:r>
      <w:r w:rsidRPr="000A327C">
        <w:rPr>
          <w:rFonts w:hint="eastAsia"/>
          <w:szCs w:val="21"/>
        </w:rPr>
        <w:t>2013-2014</w:t>
      </w:r>
      <w:r w:rsidRPr="000A327C">
        <w:rPr>
          <w:rFonts w:hint="eastAsia"/>
          <w:szCs w:val="21"/>
        </w:rPr>
        <w:t>年资产负债表</w:t>
      </w:r>
      <w:r w:rsidRPr="000A327C">
        <w:rPr>
          <w:rFonts w:hint="eastAsia"/>
          <w:szCs w:val="21"/>
        </w:rPr>
        <w:t xml:space="preserve">             </w:t>
      </w:r>
      <w:r w:rsidRPr="000A327C">
        <w:rPr>
          <w:rFonts w:hint="eastAsia"/>
          <w:szCs w:val="21"/>
        </w:rPr>
        <w:t>单位：元</w:t>
      </w:r>
    </w:p>
    <w:tbl>
      <w:tblPr>
        <w:tblW w:w="7398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356"/>
        <w:gridCol w:w="1529"/>
        <w:gridCol w:w="1529"/>
      </w:tblGrid>
      <w:tr w:rsidR="000A327C" w:rsidRPr="000A327C" w:rsidTr="000A327C">
        <w:trPr>
          <w:trHeight w:val="270"/>
          <w:jc w:val="center"/>
        </w:trPr>
        <w:tc>
          <w:tcPr>
            <w:tcW w:w="4356" w:type="dxa"/>
            <w:shd w:val="clear" w:color="auto" w:fill="auto"/>
            <w:noWrap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项目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2014年12月31日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2013年12月31日</w:t>
            </w:r>
          </w:p>
        </w:tc>
      </w:tr>
      <w:tr w:rsidR="000A327C" w:rsidRPr="000A327C" w:rsidTr="000A327C">
        <w:trPr>
          <w:trHeight w:val="270"/>
          <w:jc w:val="center"/>
        </w:trPr>
        <w:tc>
          <w:tcPr>
            <w:tcW w:w="4356" w:type="dxa"/>
            <w:shd w:val="clear" w:color="auto" w:fill="auto"/>
            <w:noWrap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流动资产：</w:t>
            </w: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1" w:type="dxa"/>
            <w:shd w:val="clear" w:color="auto" w:fill="auto"/>
            <w:noWrap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0A327C" w:rsidRPr="000A327C" w:rsidTr="000A327C">
        <w:trPr>
          <w:trHeight w:val="270"/>
          <w:jc w:val="center"/>
        </w:trPr>
        <w:tc>
          <w:tcPr>
            <w:tcW w:w="435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货币资金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983,671.02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7,427,978.34</w:t>
            </w:r>
          </w:p>
        </w:tc>
      </w:tr>
      <w:tr w:rsidR="000A327C" w:rsidRPr="000A327C" w:rsidTr="000A327C">
        <w:trPr>
          <w:trHeight w:val="362"/>
          <w:jc w:val="center"/>
        </w:trPr>
        <w:tc>
          <w:tcPr>
            <w:tcW w:w="435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以公允价值计量且其变动计入当期损益的金融资产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56,813.92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49,400.05</w:t>
            </w:r>
          </w:p>
        </w:tc>
      </w:tr>
      <w:tr w:rsidR="000A327C" w:rsidRPr="000A327C" w:rsidTr="000A327C">
        <w:trPr>
          <w:trHeight w:val="270"/>
          <w:jc w:val="center"/>
        </w:trPr>
        <w:tc>
          <w:tcPr>
            <w:tcW w:w="435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应收账款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1,746,676.35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2,071,670.60</w:t>
            </w:r>
          </w:p>
        </w:tc>
      </w:tr>
      <w:tr w:rsidR="000A327C" w:rsidRPr="000A327C" w:rsidTr="000A327C">
        <w:trPr>
          <w:trHeight w:val="270"/>
          <w:jc w:val="center"/>
        </w:trPr>
        <w:tc>
          <w:tcPr>
            <w:tcW w:w="435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预付款项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4,130,973.78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3,980,258.15</w:t>
            </w:r>
          </w:p>
        </w:tc>
      </w:tr>
      <w:tr w:rsidR="000A327C" w:rsidRPr="000A327C" w:rsidTr="000A327C">
        <w:trPr>
          <w:trHeight w:val="270"/>
          <w:jc w:val="center"/>
        </w:trPr>
        <w:tc>
          <w:tcPr>
            <w:tcW w:w="435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其他应收款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37,465,640.60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52,671,628.47</w:t>
            </w:r>
          </w:p>
        </w:tc>
      </w:tr>
      <w:tr w:rsidR="000A327C" w:rsidRPr="000A327C" w:rsidTr="000A327C">
        <w:trPr>
          <w:trHeight w:val="270"/>
          <w:jc w:val="center"/>
        </w:trPr>
        <w:tc>
          <w:tcPr>
            <w:tcW w:w="435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存货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200,000.03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200,000.00</w:t>
            </w:r>
          </w:p>
        </w:tc>
      </w:tr>
      <w:tr w:rsidR="000A327C" w:rsidRPr="000A327C" w:rsidTr="000A327C">
        <w:trPr>
          <w:trHeight w:val="244"/>
          <w:jc w:val="center"/>
        </w:trPr>
        <w:tc>
          <w:tcPr>
            <w:tcW w:w="435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流动资产合计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44,583,775.70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66,400,935.61</w:t>
            </w:r>
          </w:p>
        </w:tc>
      </w:tr>
      <w:tr w:rsidR="000A327C" w:rsidRPr="000A327C" w:rsidTr="000A327C">
        <w:trPr>
          <w:trHeight w:val="285"/>
          <w:jc w:val="center"/>
        </w:trPr>
        <w:tc>
          <w:tcPr>
            <w:tcW w:w="435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非流动资产： 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0A327C" w:rsidRPr="000A327C" w:rsidTr="000A327C">
        <w:trPr>
          <w:trHeight w:val="270"/>
          <w:jc w:val="center"/>
        </w:trPr>
        <w:tc>
          <w:tcPr>
            <w:tcW w:w="435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长期股权投资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93,457,233.33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93,457,233.33</w:t>
            </w:r>
          </w:p>
        </w:tc>
      </w:tr>
      <w:tr w:rsidR="000A327C" w:rsidRPr="000A327C" w:rsidTr="000A327C">
        <w:trPr>
          <w:trHeight w:val="270"/>
          <w:jc w:val="center"/>
        </w:trPr>
        <w:tc>
          <w:tcPr>
            <w:tcW w:w="435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投资性房地产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38,742,500.00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38,383,200.00</w:t>
            </w:r>
          </w:p>
        </w:tc>
      </w:tr>
      <w:tr w:rsidR="000A327C" w:rsidRPr="000A327C" w:rsidTr="000A327C">
        <w:trPr>
          <w:trHeight w:val="270"/>
          <w:jc w:val="center"/>
        </w:trPr>
        <w:tc>
          <w:tcPr>
            <w:tcW w:w="435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固定资产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1,754,058.43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16,027,851.83</w:t>
            </w:r>
          </w:p>
        </w:tc>
      </w:tr>
      <w:tr w:rsidR="000A327C" w:rsidRPr="000A327C" w:rsidTr="000A327C">
        <w:trPr>
          <w:trHeight w:val="270"/>
          <w:jc w:val="center"/>
        </w:trPr>
        <w:tc>
          <w:tcPr>
            <w:tcW w:w="435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在建工程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12,154,978.00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136,575.00</w:t>
            </w:r>
          </w:p>
        </w:tc>
      </w:tr>
      <w:tr w:rsidR="000A327C" w:rsidRPr="000A327C" w:rsidTr="000A327C">
        <w:trPr>
          <w:trHeight w:val="270"/>
          <w:jc w:val="center"/>
        </w:trPr>
        <w:tc>
          <w:tcPr>
            <w:tcW w:w="435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无形资产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3,214,156.57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135,327.74</w:t>
            </w:r>
          </w:p>
        </w:tc>
      </w:tr>
      <w:tr w:rsidR="000A327C" w:rsidRPr="000A327C" w:rsidTr="000A327C">
        <w:trPr>
          <w:trHeight w:val="220"/>
          <w:jc w:val="center"/>
        </w:trPr>
        <w:tc>
          <w:tcPr>
            <w:tcW w:w="435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非流动资产合计 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149,322,926.33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148,140,187.90</w:t>
            </w:r>
          </w:p>
        </w:tc>
      </w:tr>
      <w:tr w:rsidR="000A327C" w:rsidRPr="000A327C" w:rsidTr="000A327C">
        <w:trPr>
          <w:trHeight w:val="270"/>
          <w:jc w:val="center"/>
        </w:trPr>
        <w:tc>
          <w:tcPr>
            <w:tcW w:w="435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资产总计 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193,906,702.03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214,541,123.51</w:t>
            </w:r>
          </w:p>
        </w:tc>
      </w:tr>
      <w:tr w:rsidR="000A327C" w:rsidRPr="000A327C" w:rsidTr="000A327C">
        <w:trPr>
          <w:trHeight w:val="270"/>
          <w:jc w:val="center"/>
        </w:trPr>
        <w:tc>
          <w:tcPr>
            <w:tcW w:w="435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流动负债： 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0A327C" w:rsidRPr="000A327C" w:rsidTr="000A327C">
        <w:trPr>
          <w:trHeight w:val="270"/>
          <w:jc w:val="center"/>
        </w:trPr>
        <w:tc>
          <w:tcPr>
            <w:tcW w:w="435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短期借款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7,200,000.00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7,200,000.00</w:t>
            </w:r>
          </w:p>
        </w:tc>
      </w:tr>
      <w:tr w:rsidR="000A327C" w:rsidRPr="000A327C" w:rsidTr="000A327C">
        <w:trPr>
          <w:trHeight w:val="270"/>
          <w:jc w:val="center"/>
        </w:trPr>
        <w:tc>
          <w:tcPr>
            <w:tcW w:w="435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应付账款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887,540.86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631,773.41</w:t>
            </w:r>
          </w:p>
        </w:tc>
      </w:tr>
      <w:tr w:rsidR="000A327C" w:rsidRPr="000A327C" w:rsidTr="000A327C">
        <w:trPr>
          <w:trHeight w:val="270"/>
          <w:jc w:val="center"/>
        </w:trPr>
        <w:tc>
          <w:tcPr>
            <w:tcW w:w="435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预收款项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1,033,726.92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444,359.43</w:t>
            </w:r>
          </w:p>
        </w:tc>
      </w:tr>
      <w:tr w:rsidR="000A327C" w:rsidRPr="000A327C" w:rsidTr="000A327C">
        <w:trPr>
          <w:trHeight w:val="270"/>
          <w:jc w:val="center"/>
        </w:trPr>
        <w:tc>
          <w:tcPr>
            <w:tcW w:w="435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应付职工薪酬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144,553.24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270,545.19</w:t>
            </w:r>
          </w:p>
        </w:tc>
      </w:tr>
      <w:tr w:rsidR="000A327C" w:rsidRPr="000A327C" w:rsidTr="000A327C">
        <w:trPr>
          <w:trHeight w:val="270"/>
          <w:jc w:val="center"/>
        </w:trPr>
        <w:tc>
          <w:tcPr>
            <w:tcW w:w="435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应交税费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6,244,332.19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6,017,744.73</w:t>
            </w:r>
          </w:p>
        </w:tc>
      </w:tr>
      <w:tr w:rsidR="000A327C" w:rsidRPr="000A327C" w:rsidTr="000A327C">
        <w:trPr>
          <w:trHeight w:val="270"/>
          <w:jc w:val="center"/>
        </w:trPr>
        <w:tc>
          <w:tcPr>
            <w:tcW w:w="435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应付利息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2,591,954.24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2,456,436.76</w:t>
            </w:r>
          </w:p>
        </w:tc>
      </w:tr>
      <w:tr w:rsidR="000A327C" w:rsidRPr="000A327C" w:rsidTr="000A327C">
        <w:trPr>
          <w:trHeight w:val="270"/>
          <w:jc w:val="center"/>
        </w:trPr>
        <w:tc>
          <w:tcPr>
            <w:tcW w:w="435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应付股利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1,201,116.32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1,201,116.32</w:t>
            </w:r>
          </w:p>
        </w:tc>
      </w:tr>
      <w:tr w:rsidR="000A327C" w:rsidRPr="000A327C" w:rsidTr="000A327C">
        <w:trPr>
          <w:trHeight w:val="270"/>
          <w:jc w:val="center"/>
        </w:trPr>
        <w:tc>
          <w:tcPr>
            <w:tcW w:w="435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其他应付款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17,221,305.87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17,643,786.89</w:t>
            </w:r>
          </w:p>
        </w:tc>
      </w:tr>
      <w:tr w:rsidR="000A327C" w:rsidRPr="000A327C" w:rsidTr="000A327C">
        <w:trPr>
          <w:trHeight w:val="270"/>
          <w:jc w:val="center"/>
        </w:trPr>
        <w:tc>
          <w:tcPr>
            <w:tcW w:w="435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一年内到期的非流动负债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16,676,630.63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16,046,314.72</w:t>
            </w:r>
          </w:p>
        </w:tc>
      </w:tr>
      <w:tr w:rsidR="000A327C" w:rsidRPr="000A327C" w:rsidTr="000A327C">
        <w:trPr>
          <w:trHeight w:val="270"/>
          <w:jc w:val="center"/>
        </w:trPr>
        <w:tc>
          <w:tcPr>
            <w:tcW w:w="435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其他流动负债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0A327C" w:rsidRPr="000A327C" w:rsidTr="000A327C">
        <w:trPr>
          <w:trHeight w:val="270"/>
          <w:jc w:val="center"/>
        </w:trPr>
        <w:tc>
          <w:tcPr>
            <w:tcW w:w="435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流动负债合计 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53,201,160.27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51,912,077.45</w:t>
            </w:r>
          </w:p>
        </w:tc>
      </w:tr>
      <w:tr w:rsidR="000A327C" w:rsidRPr="000A327C" w:rsidTr="000A327C">
        <w:trPr>
          <w:trHeight w:val="270"/>
          <w:jc w:val="center"/>
        </w:trPr>
        <w:tc>
          <w:tcPr>
            <w:tcW w:w="435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专项应付款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14,655,819.45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31,817,072.16</w:t>
            </w:r>
          </w:p>
        </w:tc>
      </w:tr>
      <w:tr w:rsidR="000A327C" w:rsidRPr="000A327C" w:rsidTr="000A327C">
        <w:trPr>
          <w:trHeight w:val="270"/>
          <w:jc w:val="center"/>
        </w:trPr>
        <w:tc>
          <w:tcPr>
            <w:tcW w:w="435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递延所得税负债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359,377.99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267,699.52</w:t>
            </w:r>
          </w:p>
        </w:tc>
      </w:tr>
      <w:tr w:rsidR="000A327C" w:rsidRPr="000A327C" w:rsidTr="000A327C">
        <w:trPr>
          <w:trHeight w:val="270"/>
          <w:jc w:val="center"/>
        </w:trPr>
        <w:tc>
          <w:tcPr>
            <w:tcW w:w="435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其他非流动负债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15,244,414.13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16,605,540.65</w:t>
            </w:r>
          </w:p>
        </w:tc>
      </w:tr>
      <w:tr w:rsidR="000A327C" w:rsidRPr="000A327C" w:rsidTr="000A327C">
        <w:trPr>
          <w:trHeight w:val="270"/>
          <w:jc w:val="center"/>
        </w:trPr>
        <w:tc>
          <w:tcPr>
            <w:tcW w:w="435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非流动负债合计 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30,259,611.57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48,690,312.33</w:t>
            </w:r>
          </w:p>
        </w:tc>
      </w:tr>
      <w:tr w:rsidR="000A327C" w:rsidRPr="000A327C" w:rsidTr="000A327C">
        <w:trPr>
          <w:trHeight w:val="270"/>
          <w:jc w:val="center"/>
        </w:trPr>
        <w:tc>
          <w:tcPr>
            <w:tcW w:w="435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负债合计 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83,460,771.84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100,602,389.78</w:t>
            </w:r>
          </w:p>
        </w:tc>
      </w:tr>
      <w:tr w:rsidR="000A327C" w:rsidRPr="000A327C" w:rsidTr="000A327C">
        <w:trPr>
          <w:trHeight w:val="300"/>
          <w:jc w:val="center"/>
        </w:trPr>
        <w:tc>
          <w:tcPr>
            <w:tcW w:w="435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所有者权益： 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0A327C" w:rsidRPr="000A327C" w:rsidTr="000A327C">
        <w:trPr>
          <w:trHeight w:val="270"/>
          <w:jc w:val="center"/>
        </w:trPr>
        <w:tc>
          <w:tcPr>
            <w:tcW w:w="435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股本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127,730,893.00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127,730,893.00</w:t>
            </w:r>
          </w:p>
        </w:tc>
      </w:tr>
      <w:tr w:rsidR="000A327C" w:rsidRPr="000A327C" w:rsidTr="000A327C">
        <w:trPr>
          <w:trHeight w:val="270"/>
          <w:jc w:val="center"/>
        </w:trPr>
        <w:tc>
          <w:tcPr>
            <w:tcW w:w="435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资本公积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20,811,364.25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20,811,364.25</w:t>
            </w:r>
          </w:p>
        </w:tc>
      </w:tr>
      <w:tr w:rsidR="000A327C" w:rsidRPr="000A327C" w:rsidTr="000A327C">
        <w:trPr>
          <w:trHeight w:val="270"/>
          <w:jc w:val="center"/>
        </w:trPr>
        <w:tc>
          <w:tcPr>
            <w:tcW w:w="435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盈余公积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25,340,250.02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25,340,250.02</w:t>
            </w:r>
          </w:p>
        </w:tc>
      </w:tr>
      <w:tr w:rsidR="000A327C" w:rsidRPr="000A327C" w:rsidTr="000A327C">
        <w:trPr>
          <w:trHeight w:val="270"/>
          <w:jc w:val="center"/>
        </w:trPr>
        <w:tc>
          <w:tcPr>
            <w:tcW w:w="435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未分配利润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-63,436,577.08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-59,943,773.54</w:t>
            </w:r>
          </w:p>
        </w:tc>
      </w:tr>
      <w:tr w:rsidR="000A327C" w:rsidRPr="000A327C" w:rsidTr="000A327C">
        <w:trPr>
          <w:trHeight w:val="270"/>
          <w:jc w:val="center"/>
        </w:trPr>
        <w:tc>
          <w:tcPr>
            <w:tcW w:w="435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所有者权益合计 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110,445,930.19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113,938,733.73</w:t>
            </w:r>
          </w:p>
        </w:tc>
      </w:tr>
      <w:tr w:rsidR="000A327C" w:rsidRPr="000A327C" w:rsidTr="000A327C">
        <w:trPr>
          <w:trHeight w:val="270"/>
          <w:jc w:val="center"/>
        </w:trPr>
        <w:tc>
          <w:tcPr>
            <w:tcW w:w="435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负债和所有者权益总计 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193,906,702.03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214,541,123.51</w:t>
            </w:r>
          </w:p>
        </w:tc>
      </w:tr>
    </w:tbl>
    <w:p w:rsidR="000A327C" w:rsidRPr="000A327C" w:rsidRDefault="000A327C">
      <w:pPr>
        <w:rPr>
          <w:rFonts w:hint="eastAsia"/>
          <w:szCs w:val="21"/>
        </w:rPr>
      </w:pPr>
    </w:p>
    <w:p w:rsidR="000A327C" w:rsidRPr="000A327C" w:rsidRDefault="000A327C" w:rsidP="000A327C">
      <w:pPr>
        <w:jc w:val="center"/>
        <w:rPr>
          <w:rFonts w:hint="eastAsia"/>
          <w:szCs w:val="21"/>
        </w:rPr>
      </w:pPr>
      <w:r w:rsidRPr="000A327C">
        <w:rPr>
          <w:rFonts w:hint="eastAsia"/>
          <w:szCs w:val="21"/>
        </w:rPr>
        <w:t>表</w:t>
      </w:r>
      <w:r w:rsidRPr="000A327C">
        <w:rPr>
          <w:rFonts w:hint="eastAsia"/>
          <w:szCs w:val="21"/>
        </w:rPr>
        <w:t>2  A</w:t>
      </w:r>
      <w:r w:rsidRPr="000A327C">
        <w:rPr>
          <w:rFonts w:hint="eastAsia"/>
          <w:szCs w:val="21"/>
        </w:rPr>
        <w:t>公司</w:t>
      </w:r>
      <w:r w:rsidRPr="000A327C">
        <w:rPr>
          <w:rFonts w:hint="eastAsia"/>
          <w:szCs w:val="21"/>
        </w:rPr>
        <w:t>2013-2014</w:t>
      </w:r>
      <w:r w:rsidRPr="000A327C">
        <w:rPr>
          <w:rFonts w:hint="eastAsia"/>
          <w:szCs w:val="21"/>
        </w:rPr>
        <w:t>年利润表</w:t>
      </w:r>
      <w:r w:rsidRPr="000A327C">
        <w:rPr>
          <w:rFonts w:hint="eastAsia"/>
          <w:szCs w:val="21"/>
        </w:rPr>
        <w:t xml:space="preserve">           </w:t>
      </w:r>
      <w:r w:rsidRPr="000A327C">
        <w:rPr>
          <w:rFonts w:hint="eastAsia"/>
          <w:szCs w:val="21"/>
        </w:rPr>
        <w:t>单位：元</w:t>
      </w:r>
    </w:p>
    <w:tbl>
      <w:tblPr>
        <w:tblW w:w="7099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041"/>
        <w:gridCol w:w="1529"/>
        <w:gridCol w:w="1529"/>
      </w:tblGrid>
      <w:tr w:rsidR="000A327C" w:rsidRPr="000A327C" w:rsidTr="000A327C">
        <w:trPr>
          <w:trHeight w:val="20"/>
          <w:jc w:val="center"/>
        </w:trPr>
        <w:tc>
          <w:tcPr>
            <w:tcW w:w="4057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项目 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2014年 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2013年</w:t>
            </w:r>
          </w:p>
        </w:tc>
      </w:tr>
      <w:tr w:rsidR="000A327C" w:rsidRPr="000A327C" w:rsidTr="000A327C">
        <w:trPr>
          <w:trHeight w:val="20"/>
          <w:jc w:val="center"/>
        </w:trPr>
        <w:tc>
          <w:tcPr>
            <w:tcW w:w="4057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一、营业总收入 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162,991,625.58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177,034,094.26</w:t>
            </w:r>
          </w:p>
        </w:tc>
      </w:tr>
      <w:tr w:rsidR="000A327C" w:rsidRPr="000A327C" w:rsidTr="000A327C">
        <w:trPr>
          <w:trHeight w:val="20"/>
          <w:jc w:val="center"/>
        </w:trPr>
        <w:tc>
          <w:tcPr>
            <w:tcW w:w="4057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其中：营业收入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162,991,625.58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177,034,094.26</w:t>
            </w:r>
          </w:p>
        </w:tc>
      </w:tr>
      <w:tr w:rsidR="000A327C" w:rsidRPr="000A327C" w:rsidTr="000A327C">
        <w:trPr>
          <w:trHeight w:val="20"/>
          <w:jc w:val="center"/>
        </w:trPr>
        <w:tc>
          <w:tcPr>
            <w:tcW w:w="4057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二、营业总成本 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158,614,974.28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167,477,083.06</w:t>
            </w:r>
          </w:p>
        </w:tc>
      </w:tr>
      <w:tr w:rsidR="000A327C" w:rsidRPr="000A327C" w:rsidTr="000A327C">
        <w:trPr>
          <w:trHeight w:val="20"/>
          <w:jc w:val="center"/>
        </w:trPr>
        <w:tc>
          <w:tcPr>
            <w:tcW w:w="4057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其中：营业成本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119,103,177.66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130,328,248.40</w:t>
            </w:r>
          </w:p>
        </w:tc>
      </w:tr>
      <w:tr w:rsidR="000A327C" w:rsidRPr="000A327C" w:rsidTr="000A327C">
        <w:trPr>
          <w:trHeight w:val="20"/>
          <w:jc w:val="center"/>
        </w:trPr>
        <w:tc>
          <w:tcPr>
            <w:tcW w:w="4057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营业税金及附加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7,847,248.57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8,544,182.31</w:t>
            </w:r>
          </w:p>
        </w:tc>
      </w:tr>
      <w:tr w:rsidR="000A327C" w:rsidRPr="000A327C" w:rsidTr="000A327C">
        <w:trPr>
          <w:trHeight w:val="20"/>
          <w:jc w:val="center"/>
        </w:trPr>
        <w:tc>
          <w:tcPr>
            <w:tcW w:w="4057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销售费用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5,303,479.51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8,742,077.82</w:t>
            </w:r>
          </w:p>
        </w:tc>
      </w:tr>
      <w:tr w:rsidR="000A327C" w:rsidRPr="000A327C" w:rsidTr="000A327C">
        <w:trPr>
          <w:trHeight w:val="20"/>
          <w:jc w:val="center"/>
        </w:trPr>
        <w:tc>
          <w:tcPr>
            <w:tcW w:w="4057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管理费用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9,342,222.57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11,965,456.29</w:t>
            </w:r>
          </w:p>
        </w:tc>
      </w:tr>
      <w:tr w:rsidR="000A327C" w:rsidRPr="000A327C" w:rsidTr="000A327C">
        <w:trPr>
          <w:trHeight w:val="20"/>
          <w:jc w:val="center"/>
        </w:trPr>
        <w:tc>
          <w:tcPr>
            <w:tcW w:w="4057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财务费用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15,722,796.51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7,406,206.44</w:t>
            </w:r>
          </w:p>
        </w:tc>
      </w:tr>
      <w:tr w:rsidR="000A327C" w:rsidRPr="000A327C" w:rsidTr="000A327C">
        <w:trPr>
          <w:trHeight w:val="20"/>
          <w:jc w:val="center"/>
        </w:trPr>
        <w:tc>
          <w:tcPr>
            <w:tcW w:w="4057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资产减值损失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1,296,049.46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490,911.80</w:t>
            </w:r>
          </w:p>
        </w:tc>
      </w:tr>
      <w:tr w:rsidR="000A327C" w:rsidRPr="000A327C" w:rsidTr="000A327C">
        <w:trPr>
          <w:trHeight w:val="20"/>
          <w:jc w:val="center"/>
        </w:trPr>
        <w:tc>
          <w:tcPr>
            <w:tcW w:w="4057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加：公允价值变动收益（损失以</w:t>
            </w:r>
            <w:r w:rsidRPr="000A327C">
              <w:rPr>
                <w:rFonts w:ascii="Calibri" w:eastAsia="宋体" w:hAnsi="Calibri" w:cs="宋体"/>
                <w:color w:val="000000"/>
                <w:kern w:val="0"/>
                <w:szCs w:val="21"/>
              </w:rPr>
              <w:t>“</w:t>
            </w: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－</w:t>
            </w:r>
            <w:r w:rsidRPr="000A327C">
              <w:rPr>
                <w:rFonts w:ascii="Calibri" w:eastAsia="宋体" w:hAnsi="Calibri" w:cs="宋体"/>
                <w:color w:val="000000"/>
                <w:kern w:val="0"/>
                <w:szCs w:val="21"/>
              </w:rPr>
              <w:t>”</w:t>
            </w: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号填列） 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366,713.87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52,445.55</w:t>
            </w:r>
          </w:p>
        </w:tc>
      </w:tr>
      <w:tr w:rsidR="000A327C" w:rsidRPr="000A327C" w:rsidTr="000A327C">
        <w:trPr>
          <w:trHeight w:val="20"/>
          <w:jc w:val="center"/>
        </w:trPr>
        <w:tc>
          <w:tcPr>
            <w:tcW w:w="4057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投资收益（损失以</w:t>
            </w:r>
            <w:r w:rsidRPr="000A327C">
              <w:rPr>
                <w:rFonts w:ascii="Calibri" w:eastAsia="宋体" w:hAnsi="Calibri" w:cs="宋体"/>
                <w:color w:val="000000"/>
                <w:kern w:val="0"/>
                <w:szCs w:val="21"/>
              </w:rPr>
              <w:t>“</w:t>
            </w: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－</w:t>
            </w:r>
            <w:r w:rsidRPr="000A327C">
              <w:rPr>
                <w:rFonts w:ascii="Calibri" w:eastAsia="宋体" w:hAnsi="Calibri" w:cs="宋体"/>
                <w:color w:val="000000"/>
                <w:kern w:val="0"/>
                <w:szCs w:val="21"/>
              </w:rPr>
              <w:t>”</w:t>
            </w: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号填列） 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396.04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271,033.25</w:t>
            </w:r>
          </w:p>
        </w:tc>
      </w:tr>
      <w:tr w:rsidR="000A327C" w:rsidRPr="000A327C" w:rsidTr="000A327C">
        <w:trPr>
          <w:trHeight w:val="20"/>
          <w:jc w:val="center"/>
        </w:trPr>
        <w:tc>
          <w:tcPr>
            <w:tcW w:w="4057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三、营业利润（亏损以</w:t>
            </w:r>
            <w:r w:rsidRPr="000A327C">
              <w:rPr>
                <w:rFonts w:ascii="Calibri" w:eastAsia="宋体" w:hAnsi="Calibri" w:cs="宋体"/>
                <w:color w:val="000000"/>
                <w:kern w:val="0"/>
                <w:szCs w:val="21"/>
              </w:rPr>
              <w:t>“</w:t>
            </w: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－</w:t>
            </w:r>
            <w:r w:rsidRPr="000A327C">
              <w:rPr>
                <w:rFonts w:ascii="Calibri" w:eastAsia="宋体" w:hAnsi="Calibri" w:cs="宋体"/>
                <w:color w:val="000000"/>
                <w:kern w:val="0"/>
                <w:szCs w:val="21"/>
              </w:rPr>
              <w:t>”</w:t>
            </w: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号填列） 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4,743,761.21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9,880,490.00</w:t>
            </w:r>
          </w:p>
        </w:tc>
      </w:tr>
      <w:tr w:rsidR="000A327C" w:rsidRPr="000A327C" w:rsidTr="000A327C">
        <w:trPr>
          <w:trHeight w:val="20"/>
          <w:jc w:val="center"/>
        </w:trPr>
        <w:tc>
          <w:tcPr>
            <w:tcW w:w="4057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加：营业外收入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22,529,599.04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20,120,225.35</w:t>
            </w:r>
          </w:p>
        </w:tc>
      </w:tr>
      <w:tr w:rsidR="000A327C" w:rsidRPr="000A327C" w:rsidTr="000A327C">
        <w:trPr>
          <w:trHeight w:val="20"/>
          <w:jc w:val="center"/>
        </w:trPr>
        <w:tc>
          <w:tcPr>
            <w:tcW w:w="4057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其中：非流动资产处置利得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2,892.69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164,594.20</w:t>
            </w:r>
          </w:p>
        </w:tc>
      </w:tr>
      <w:tr w:rsidR="000A327C" w:rsidRPr="000A327C" w:rsidTr="000A327C">
        <w:trPr>
          <w:trHeight w:val="20"/>
          <w:jc w:val="center"/>
        </w:trPr>
        <w:tc>
          <w:tcPr>
            <w:tcW w:w="4057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减：营业外支出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18,754,530.49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18,894,270.63</w:t>
            </w:r>
          </w:p>
        </w:tc>
      </w:tr>
      <w:tr w:rsidR="000A327C" w:rsidRPr="000A327C" w:rsidTr="000A327C">
        <w:trPr>
          <w:trHeight w:val="20"/>
          <w:jc w:val="center"/>
        </w:trPr>
        <w:tc>
          <w:tcPr>
            <w:tcW w:w="4057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其中：非流动资产处置损失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191,970.08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191,970.08</w:t>
            </w:r>
          </w:p>
        </w:tc>
      </w:tr>
      <w:tr w:rsidR="000A327C" w:rsidRPr="000A327C" w:rsidTr="000A327C">
        <w:trPr>
          <w:trHeight w:val="20"/>
          <w:jc w:val="center"/>
        </w:trPr>
        <w:tc>
          <w:tcPr>
            <w:tcW w:w="4057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四、利润总额（亏损总额以</w:t>
            </w:r>
            <w:r w:rsidRPr="000A327C">
              <w:rPr>
                <w:rFonts w:ascii="Calibri" w:eastAsia="宋体" w:hAnsi="Calibri" w:cs="宋体"/>
                <w:color w:val="000000"/>
                <w:kern w:val="0"/>
                <w:szCs w:val="21"/>
              </w:rPr>
              <w:t>“</w:t>
            </w: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－</w:t>
            </w:r>
            <w:r w:rsidRPr="000A327C">
              <w:rPr>
                <w:rFonts w:ascii="Calibri" w:eastAsia="宋体" w:hAnsi="Calibri" w:cs="宋体"/>
                <w:color w:val="000000"/>
                <w:kern w:val="0"/>
                <w:szCs w:val="21"/>
              </w:rPr>
              <w:t>”</w:t>
            </w: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号填列） 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8,518,829.76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11,106,444.72</w:t>
            </w:r>
          </w:p>
        </w:tc>
      </w:tr>
      <w:tr w:rsidR="000A327C" w:rsidRPr="000A327C" w:rsidTr="000A327C">
        <w:trPr>
          <w:trHeight w:val="20"/>
          <w:jc w:val="center"/>
        </w:trPr>
        <w:tc>
          <w:tcPr>
            <w:tcW w:w="4057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减：所得税费用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4,793,231.72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6,749,222.60</w:t>
            </w:r>
          </w:p>
        </w:tc>
      </w:tr>
      <w:tr w:rsidR="000A327C" w:rsidRPr="000A327C" w:rsidTr="000A327C">
        <w:trPr>
          <w:trHeight w:val="20"/>
          <w:jc w:val="center"/>
        </w:trPr>
        <w:tc>
          <w:tcPr>
            <w:tcW w:w="4057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五、净利润（净亏损以</w:t>
            </w:r>
            <w:r w:rsidRPr="000A327C">
              <w:rPr>
                <w:rFonts w:ascii="Calibri" w:eastAsia="宋体" w:hAnsi="Calibri" w:cs="宋体"/>
                <w:color w:val="000000"/>
                <w:kern w:val="0"/>
                <w:szCs w:val="21"/>
              </w:rPr>
              <w:t>“</w:t>
            </w: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－</w:t>
            </w:r>
            <w:r w:rsidRPr="000A327C">
              <w:rPr>
                <w:rFonts w:ascii="Calibri" w:eastAsia="宋体" w:hAnsi="Calibri" w:cs="宋体"/>
                <w:color w:val="000000"/>
                <w:kern w:val="0"/>
                <w:szCs w:val="21"/>
              </w:rPr>
              <w:t>”</w:t>
            </w: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号填列） 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3,725,598.04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4,357,222.12</w:t>
            </w:r>
          </w:p>
        </w:tc>
      </w:tr>
      <w:tr w:rsidR="000A327C" w:rsidRPr="000A327C" w:rsidTr="000A327C">
        <w:trPr>
          <w:trHeight w:val="20"/>
          <w:jc w:val="center"/>
        </w:trPr>
        <w:tc>
          <w:tcPr>
            <w:tcW w:w="4057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归属于母公司所有者的净利润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3,759,330.54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4,253,799.58</w:t>
            </w:r>
          </w:p>
        </w:tc>
      </w:tr>
      <w:tr w:rsidR="000A327C" w:rsidRPr="000A327C" w:rsidTr="000A327C">
        <w:trPr>
          <w:trHeight w:val="20"/>
          <w:jc w:val="center"/>
        </w:trPr>
        <w:tc>
          <w:tcPr>
            <w:tcW w:w="4057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少数股东损益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-33,732.50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103,422.54</w:t>
            </w:r>
          </w:p>
        </w:tc>
      </w:tr>
      <w:tr w:rsidR="000A327C" w:rsidRPr="000A327C" w:rsidTr="000A327C">
        <w:trPr>
          <w:trHeight w:val="20"/>
          <w:jc w:val="center"/>
        </w:trPr>
        <w:tc>
          <w:tcPr>
            <w:tcW w:w="4057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七、综合收益总额 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3,725,598.04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4,357,222.12</w:t>
            </w:r>
          </w:p>
        </w:tc>
      </w:tr>
      <w:tr w:rsidR="000A327C" w:rsidRPr="000A327C" w:rsidTr="000A327C">
        <w:trPr>
          <w:trHeight w:val="20"/>
          <w:jc w:val="center"/>
        </w:trPr>
        <w:tc>
          <w:tcPr>
            <w:tcW w:w="4057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归属于母公司所有者的综合收益总额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3,759,330.54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4,253,799.58</w:t>
            </w:r>
          </w:p>
        </w:tc>
      </w:tr>
      <w:tr w:rsidR="000A327C" w:rsidRPr="000A327C" w:rsidTr="000A327C">
        <w:trPr>
          <w:trHeight w:val="20"/>
          <w:jc w:val="center"/>
        </w:trPr>
        <w:tc>
          <w:tcPr>
            <w:tcW w:w="4057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归属于少数股东的综合收益总额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-33,732.50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103,422.54</w:t>
            </w:r>
          </w:p>
        </w:tc>
      </w:tr>
      <w:tr w:rsidR="000A327C" w:rsidRPr="000A327C" w:rsidTr="000A327C">
        <w:trPr>
          <w:trHeight w:val="20"/>
          <w:jc w:val="center"/>
        </w:trPr>
        <w:tc>
          <w:tcPr>
            <w:tcW w:w="4057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八、每股收益： 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0A327C" w:rsidRPr="000A327C" w:rsidTr="000A327C">
        <w:trPr>
          <w:trHeight w:val="20"/>
          <w:jc w:val="center"/>
        </w:trPr>
        <w:tc>
          <w:tcPr>
            <w:tcW w:w="4057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（一）基本每股收益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0.03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0.03</w:t>
            </w:r>
          </w:p>
        </w:tc>
      </w:tr>
      <w:tr w:rsidR="000A327C" w:rsidRPr="000A327C" w:rsidTr="000A327C">
        <w:trPr>
          <w:trHeight w:val="20"/>
          <w:jc w:val="center"/>
        </w:trPr>
        <w:tc>
          <w:tcPr>
            <w:tcW w:w="4057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（二）稀释每股收益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0.03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0.03</w:t>
            </w:r>
          </w:p>
        </w:tc>
      </w:tr>
    </w:tbl>
    <w:p w:rsidR="000A327C" w:rsidRPr="000A327C" w:rsidRDefault="000A327C">
      <w:pPr>
        <w:rPr>
          <w:rFonts w:hint="eastAsia"/>
          <w:szCs w:val="21"/>
        </w:rPr>
      </w:pPr>
    </w:p>
    <w:p w:rsidR="000A327C" w:rsidRPr="000A327C" w:rsidRDefault="000A327C" w:rsidP="000A327C">
      <w:pPr>
        <w:jc w:val="center"/>
        <w:rPr>
          <w:rFonts w:hint="eastAsia"/>
          <w:szCs w:val="21"/>
        </w:rPr>
      </w:pPr>
      <w:r w:rsidRPr="000A327C">
        <w:rPr>
          <w:rFonts w:hint="eastAsia"/>
          <w:szCs w:val="21"/>
        </w:rPr>
        <w:t xml:space="preserve">            </w:t>
      </w:r>
      <w:r w:rsidRPr="000A327C">
        <w:rPr>
          <w:rFonts w:hint="eastAsia"/>
          <w:szCs w:val="21"/>
        </w:rPr>
        <w:t>表</w:t>
      </w:r>
      <w:r w:rsidRPr="000A327C">
        <w:rPr>
          <w:rFonts w:hint="eastAsia"/>
          <w:szCs w:val="21"/>
        </w:rPr>
        <w:t>3 A</w:t>
      </w:r>
      <w:r w:rsidRPr="000A327C">
        <w:rPr>
          <w:rFonts w:hint="eastAsia"/>
          <w:szCs w:val="21"/>
        </w:rPr>
        <w:t>公司现金流量表</w:t>
      </w:r>
      <w:r w:rsidRPr="000A327C">
        <w:rPr>
          <w:rFonts w:hint="eastAsia"/>
          <w:szCs w:val="21"/>
        </w:rPr>
        <w:t xml:space="preserve">          </w:t>
      </w:r>
      <w:r w:rsidRPr="000A327C">
        <w:rPr>
          <w:rFonts w:hint="eastAsia"/>
          <w:szCs w:val="21"/>
        </w:rPr>
        <w:t>单位：元</w:t>
      </w:r>
    </w:p>
    <w:tbl>
      <w:tblPr>
        <w:tblW w:w="8163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888"/>
        <w:gridCol w:w="1529"/>
        <w:gridCol w:w="1746"/>
      </w:tblGrid>
      <w:tr w:rsidR="000A327C" w:rsidRPr="000A327C" w:rsidTr="000A327C">
        <w:trPr>
          <w:trHeight w:val="20"/>
          <w:jc w:val="center"/>
        </w:trPr>
        <w:tc>
          <w:tcPr>
            <w:tcW w:w="489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项目 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2014年</w:t>
            </w:r>
          </w:p>
        </w:tc>
        <w:tc>
          <w:tcPr>
            <w:tcW w:w="174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2013年</w:t>
            </w:r>
          </w:p>
        </w:tc>
      </w:tr>
      <w:tr w:rsidR="000A327C" w:rsidRPr="000A327C" w:rsidTr="000A327C">
        <w:trPr>
          <w:trHeight w:val="20"/>
          <w:jc w:val="center"/>
        </w:trPr>
        <w:tc>
          <w:tcPr>
            <w:tcW w:w="489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一、经营活动产生的现金流量： 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4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0A327C" w:rsidRPr="000A327C" w:rsidTr="000A327C">
        <w:trPr>
          <w:trHeight w:val="20"/>
          <w:jc w:val="center"/>
        </w:trPr>
        <w:tc>
          <w:tcPr>
            <w:tcW w:w="489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销售商品、提供劳务收到的现金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151,960,571.85</w:t>
            </w:r>
          </w:p>
        </w:tc>
        <w:tc>
          <w:tcPr>
            <w:tcW w:w="174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225,075,916.97</w:t>
            </w:r>
          </w:p>
        </w:tc>
      </w:tr>
      <w:tr w:rsidR="000A327C" w:rsidRPr="000A327C" w:rsidTr="000A327C">
        <w:trPr>
          <w:trHeight w:val="20"/>
          <w:jc w:val="center"/>
        </w:trPr>
        <w:tc>
          <w:tcPr>
            <w:tcW w:w="489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收到其他与经营活动有关的现金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9,559,056.76</w:t>
            </w:r>
          </w:p>
        </w:tc>
        <w:tc>
          <w:tcPr>
            <w:tcW w:w="174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3,735,756.11</w:t>
            </w:r>
          </w:p>
        </w:tc>
      </w:tr>
      <w:tr w:rsidR="000A327C" w:rsidRPr="000A327C" w:rsidTr="000A327C">
        <w:trPr>
          <w:trHeight w:val="20"/>
          <w:jc w:val="center"/>
        </w:trPr>
        <w:tc>
          <w:tcPr>
            <w:tcW w:w="489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 xml:space="preserve">经营活动现金流入小计 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161,519,628.61</w:t>
            </w:r>
          </w:p>
        </w:tc>
        <w:tc>
          <w:tcPr>
            <w:tcW w:w="174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228,811,673.08</w:t>
            </w:r>
          </w:p>
        </w:tc>
      </w:tr>
      <w:tr w:rsidR="000A327C" w:rsidRPr="000A327C" w:rsidTr="000A327C">
        <w:trPr>
          <w:trHeight w:val="20"/>
          <w:jc w:val="center"/>
        </w:trPr>
        <w:tc>
          <w:tcPr>
            <w:tcW w:w="489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购买商品、接受劳务支付的现金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176,687,631.15</w:t>
            </w:r>
          </w:p>
        </w:tc>
        <w:tc>
          <w:tcPr>
            <w:tcW w:w="174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269,591,542.99</w:t>
            </w:r>
          </w:p>
        </w:tc>
      </w:tr>
      <w:tr w:rsidR="000A327C" w:rsidRPr="000A327C" w:rsidTr="000A327C">
        <w:trPr>
          <w:trHeight w:val="20"/>
          <w:jc w:val="center"/>
        </w:trPr>
        <w:tc>
          <w:tcPr>
            <w:tcW w:w="489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支付给职工以及为职工支付的现金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8,708,839.26</w:t>
            </w:r>
          </w:p>
        </w:tc>
        <w:tc>
          <w:tcPr>
            <w:tcW w:w="174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11,276,640.82</w:t>
            </w:r>
          </w:p>
        </w:tc>
      </w:tr>
      <w:tr w:rsidR="000A327C" w:rsidRPr="000A327C" w:rsidTr="000A327C">
        <w:trPr>
          <w:trHeight w:val="20"/>
          <w:jc w:val="center"/>
        </w:trPr>
        <w:tc>
          <w:tcPr>
            <w:tcW w:w="489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支付的各项税费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9,625,596.94</w:t>
            </w:r>
          </w:p>
        </w:tc>
        <w:tc>
          <w:tcPr>
            <w:tcW w:w="174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28,211,056.89</w:t>
            </w:r>
          </w:p>
        </w:tc>
      </w:tr>
      <w:tr w:rsidR="000A327C" w:rsidRPr="000A327C" w:rsidTr="000A327C">
        <w:trPr>
          <w:trHeight w:val="20"/>
          <w:jc w:val="center"/>
        </w:trPr>
        <w:tc>
          <w:tcPr>
            <w:tcW w:w="489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支付其他与经营活动有关的现金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10,622,237.11</w:t>
            </w:r>
          </w:p>
        </w:tc>
        <w:tc>
          <w:tcPr>
            <w:tcW w:w="174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12,430,233.80</w:t>
            </w:r>
          </w:p>
        </w:tc>
      </w:tr>
      <w:tr w:rsidR="000A327C" w:rsidRPr="000A327C" w:rsidTr="000A327C">
        <w:trPr>
          <w:trHeight w:val="20"/>
          <w:jc w:val="center"/>
        </w:trPr>
        <w:tc>
          <w:tcPr>
            <w:tcW w:w="489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经营活动现金流出小计 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205,644,304.46</w:t>
            </w:r>
          </w:p>
        </w:tc>
        <w:tc>
          <w:tcPr>
            <w:tcW w:w="174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321,509,474.50</w:t>
            </w:r>
          </w:p>
        </w:tc>
      </w:tr>
      <w:tr w:rsidR="000A327C" w:rsidRPr="000A327C" w:rsidTr="000A327C">
        <w:trPr>
          <w:trHeight w:val="20"/>
          <w:jc w:val="center"/>
        </w:trPr>
        <w:tc>
          <w:tcPr>
            <w:tcW w:w="489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经营活动产生的现金流量净额 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-44,124,675.85</w:t>
            </w:r>
          </w:p>
        </w:tc>
        <w:tc>
          <w:tcPr>
            <w:tcW w:w="174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-92,697,801.42</w:t>
            </w:r>
          </w:p>
        </w:tc>
      </w:tr>
      <w:tr w:rsidR="000A327C" w:rsidRPr="000A327C" w:rsidTr="000A327C">
        <w:trPr>
          <w:trHeight w:val="20"/>
          <w:jc w:val="center"/>
        </w:trPr>
        <w:tc>
          <w:tcPr>
            <w:tcW w:w="489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二、投资活动产生的现金流量： 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4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0A327C" w:rsidRPr="000A327C" w:rsidTr="000A327C">
        <w:trPr>
          <w:trHeight w:val="20"/>
          <w:jc w:val="center"/>
        </w:trPr>
        <w:tc>
          <w:tcPr>
            <w:tcW w:w="489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收回投资收到的现金 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4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0A327C" w:rsidRPr="000A327C" w:rsidTr="000A327C">
        <w:trPr>
          <w:trHeight w:val="20"/>
          <w:jc w:val="center"/>
        </w:trPr>
        <w:tc>
          <w:tcPr>
            <w:tcW w:w="489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取得投资收益收到的现金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74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198.02</w:t>
            </w:r>
          </w:p>
        </w:tc>
      </w:tr>
      <w:tr w:rsidR="000A327C" w:rsidRPr="000A327C" w:rsidTr="000A327C">
        <w:trPr>
          <w:trHeight w:val="20"/>
          <w:jc w:val="center"/>
        </w:trPr>
        <w:tc>
          <w:tcPr>
            <w:tcW w:w="489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处置固定资产、无形资产和其他长期资产收回的现金净额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495,671.78</w:t>
            </w:r>
          </w:p>
        </w:tc>
        <w:tc>
          <w:tcPr>
            <w:tcW w:w="174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387,180.00</w:t>
            </w:r>
          </w:p>
        </w:tc>
      </w:tr>
      <w:tr w:rsidR="000A327C" w:rsidRPr="000A327C" w:rsidTr="000A327C">
        <w:trPr>
          <w:trHeight w:val="20"/>
          <w:jc w:val="center"/>
        </w:trPr>
        <w:tc>
          <w:tcPr>
            <w:tcW w:w="489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处置子公司及其他营业单位收到的现金净额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74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49,603,100.00</w:t>
            </w:r>
          </w:p>
        </w:tc>
      </w:tr>
      <w:tr w:rsidR="000A327C" w:rsidRPr="000A327C" w:rsidTr="000A327C">
        <w:trPr>
          <w:trHeight w:val="20"/>
          <w:jc w:val="center"/>
        </w:trPr>
        <w:tc>
          <w:tcPr>
            <w:tcW w:w="489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收到其他与投资活动有关的现金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4,176,200.00</w:t>
            </w:r>
          </w:p>
        </w:tc>
        <w:tc>
          <w:tcPr>
            <w:tcW w:w="174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60,168,172.16</w:t>
            </w:r>
          </w:p>
        </w:tc>
      </w:tr>
      <w:tr w:rsidR="000A327C" w:rsidRPr="000A327C" w:rsidTr="000A327C">
        <w:trPr>
          <w:trHeight w:val="20"/>
          <w:jc w:val="center"/>
        </w:trPr>
        <w:tc>
          <w:tcPr>
            <w:tcW w:w="489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投资活动现金流入小计 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4,671,871.78</w:t>
            </w:r>
          </w:p>
        </w:tc>
        <w:tc>
          <w:tcPr>
            <w:tcW w:w="174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110,158,650.18</w:t>
            </w:r>
          </w:p>
        </w:tc>
      </w:tr>
      <w:tr w:rsidR="000A327C" w:rsidRPr="000A327C" w:rsidTr="000A327C">
        <w:trPr>
          <w:trHeight w:val="20"/>
          <w:jc w:val="center"/>
        </w:trPr>
        <w:tc>
          <w:tcPr>
            <w:tcW w:w="489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购建固定资产、无形资产和其他长期资产支付的现金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18,801,861.98</w:t>
            </w:r>
          </w:p>
        </w:tc>
        <w:tc>
          <w:tcPr>
            <w:tcW w:w="174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2,725,368.05</w:t>
            </w:r>
          </w:p>
        </w:tc>
      </w:tr>
      <w:tr w:rsidR="000A327C" w:rsidRPr="000A327C" w:rsidTr="000A327C">
        <w:trPr>
          <w:trHeight w:val="20"/>
          <w:jc w:val="center"/>
        </w:trPr>
        <w:tc>
          <w:tcPr>
            <w:tcW w:w="489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投资支付的现金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250,000.00</w:t>
            </w:r>
          </w:p>
        </w:tc>
        <w:tc>
          <w:tcPr>
            <w:tcW w:w="174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0A327C" w:rsidRPr="000A327C" w:rsidTr="000A327C">
        <w:trPr>
          <w:trHeight w:val="20"/>
          <w:jc w:val="center"/>
        </w:trPr>
        <w:tc>
          <w:tcPr>
            <w:tcW w:w="489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质押贷款净增加额 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4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0A327C" w:rsidRPr="000A327C" w:rsidTr="000A327C">
        <w:trPr>
          <w:trHeight w:val="20"/>
          <w:jc w:val="center"/>
        </w:trPr>
        <w:tc>
          <w:tcPr>
            <w:tcW w:w="489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取得子公司及其他营业单位支付的现金净额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74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-1,000,000.00</w:t>
            </w:r>
          </w:p>
        </w:tc>
      </w:tr>
      <w:tr w:rsidR="000A327C" w:rsidRPr="000A327C" w:rsidTr="000A327C">
        <w:trPr>
          <w:trHeight w:val="20"/>
          <w:jc w:val="center"/>
        </w:trPr>
        <w:tc>
          <w:tcPr>
            <w:tcW w:w="489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支付其他与投资活动有关的现金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3,580,013.60</w:t>
            </w:r>
          </w:p>
        </w:tc>
        <w:tc>
          <w:tcPr>
            <w:tcW w:w="174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0A327C" w:rsidRPr="000A327C" w:rsidTr="000A327C">
        <w:trPr>
          <w:trHeight w:val="20"/>
          <w:jc w:val="center"/>
        </w:trPr>
        <w:tc>
          <w:tcPr>
            <w:tcW w:w="489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投资活动现金流出小计 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22,631,875.58</w:t>
            </w:r>
          </w:p>
        </w:tc>
        <w:tc>
          <w:tcPr>
            <w:tcW w:w="174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1,725,368.05</w:t>
            </w:r>
          </w:p>
        </w:tc>
      </w:tr>
      <w:tr w:rsidR="000A327C" w:rsidRPr="000A327C" w:rsidTr="000A327C">
        <w:trPr>
          <w:trHeight w:val="20"/>
          <w:jc w:val="center"/>
        </w:trPr>
        <w:tc>
          <w:tcPr>
            <w:tcW w:w="489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投资活动产生的现金流量净额 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-17,960,003.80</w:t>
            </w:r>
          </w:p>
        </w:tc>
        <w:tc>
          <w:tcPr>
            <w:tcW w:w="174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108,433,282.13</w:t>
            </w:r>
          </w:p>
        </w:tc>
      </w:tr>
      <w:tr w:rsidR="000A327C" w:rsidRPr="000A327C" w:rsidTr="000A327C">
        <w:trPr>
          <w:trHeight w:val="20"/>
          <w:jc w:val="center"/>
        </w:trPr>
        <w:tc>
          <w:tcPr>
            <w:tcW w:w="489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三、筹资活动产生的现金流量： 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4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0A327C" w:rsidRPr="000A327C" w:rsidTr="000A327C">
        <w:trPr>
          <w:trHeight w:val="20"/>
          <w:jc w:val="center"/>
        </w:trPr>
        <w:tc>
          <w:tcPr>
            <w:tcW w:w="489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吸收投资收到的现金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74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0A327C" w:rsidRPr="000A327C" w:rsidTr="000A327C">
        <w:trPr>
          <w:trHeight w:val="20"/>
          <w:jc w:val="center"/>
        </w:trPr>
        <w:tc>
          <w:tcPr>
            <w:tcW w:w="489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其中：子公司吸收少数股东投资收到的现金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74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0A327C" w:rsidRPr="000A327C" w:rsidTr="000A327C">
        <w:trPr>
          <w:trHeight w:val="20"/>
          <w:jc w:val="center"/>
        </w:trPr>
        <w:tc>
          <w:tcPr>
            <w:tcW w:w="489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取得借款收到的现金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161,000,000.00</w:t>
            </w:r>
          </w:p>
        </w:tc>
        <w:tc>
          <w:tcPr>
            <w:tcW w:w="174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72,000,000.00</w:t>
            </w:r>
          </w:p>
        </w:tc>
      </w:tr>
      <w:tr w:rsidR="000A327C" w:rsidRPr="000A327C" w:rsidTr="000A327C">
        <w:trPr>
          <w:trHeight w:val="20"/>
          <w:jc w:val="center"/>
        </w:trPr>
        <w:tc>
          <w:tcPr>
            <w:tcW w:w="489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发行债券收到的现金 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4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0A327C" w:rsidRPr="000A327C" w:rsidTr="000A327C">
        <w:trPr>
          <w:trHeight w:val="20"/>
          <w:jc w:val="center"/>
        </w:trPr>
        <w:tc>
          <w:tcPr>
            <w:tcW w:w="489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收到其他与筹资活动有关的现金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11,943,000.00</w:t>
            </w:r>
          </w:p>
        </w:tc>
        <w:tc>
          <w:tcPr>
            <w:tcW w:w="174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0A327C" w:rsidRPr="000A327C" w:rsidTr="000A327C">
        <w:trPr>
          <w:trHeight w:val="20"/>
          <w:jc w:val="center"/>
        </w:trPr>
        <w:tc>
          <w:tcPr>
            <w:tcW w:w="489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筹资活动现金流入小计 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172,943,000.00</w:t>
            </w:r>
          </w:p>
        </w:tc>
        <w:tc>
          <w:tcPr>
            <w:tcW w:w="174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72,000,000.00</w:t>
            </w:r>
          </w:p>
        </w:tc>
      </w:tr>
      <w:tr w:rsidR="000A327C" w:rsidRPr="000A327C" w:rsidTr="000A327C">
        <w:trPr>
          <w:trHeight w:val="20"/>
          <w:jc w:val="center"/>
        </w:trPr>
        <w:tc>
          <w:tcPr>
            <w:tcW w:w="489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偿还债务支付的现金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116,000,000.00</w:t>
            </w:r>
          </w:p>
        </w:tc>
        <w:tc>
          <w:tcPr>
            <w:tcW w:w="174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62,000,000.00</w:t>
            </w:r>
          </w:p>
        </w:tc>
      </w:tr>
      <w:tr w:rsidR="000A327C" w:rsidRPr="000A327C" w:rsidTr="000A327C">
        <w:trPr>
          <w:trHeight w:val="20"/>
          <w:jc w:val="center"/>
        </w:trPr>
        <w:tc>
          <w:tcPr>
            <w:tcW w:w="489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分配股利、利润或偿付利息支付的现金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13,705,474.68</w:t>
            </w:r>
          </w:p>
        </w:tc>
        <w:tc>
          <w:tcPr>
            <w:tcW w:w="174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7,495,176.39</w:t>
            </w:r>
          </w:p>
        </w:tc>
      </w:tr>
      <w:tr w:rsidR="000A327C" w:rsidRPr="000A327C" w:rsidTr="000A327C">
        <w:trPr>
          <w:trHeight w:val="20"/>
          <w:jc w:val="center"/>
        </w:trPr>
        <w:tc>
          <w:tcPr>
            <w:tcW w:w="489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其中：子公司支付给少数股东的股利、利润 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4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0A327C" w:rsidRPr="000A327C" w:rsidTr="000A327C">
        <w:trPr>
          <w:trHeight w:val="20"/>
          <w:jc w:val="center"/>
        </w:trPr>
        <w:tc>
          <w:tcPr>
            <w:tcW w:w="489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支付其他与筹资活动有关的现金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9,284,150.00</w:t>
            </w:r>
          </w:p>
        </w:tc>
        <w:tc>
          <w:tcPr>
            <w:tcW w:w="174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0A327C" w:rsidRPr="000A327C" w:rsidTr="000A327C">
        <w:trPr>
          <w:trHeight w:val="20"/>
          <w:jc w:val="center"/>
        </w:trPr>
        <w:tc>
          <w:tcPr>
            <w:tcW w:w="489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筹资活动现金流出小计 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138,989,624.68</w:t>
            </w:r>
          </w:p>
        </w:tc>
        <w:tc>
          <w:tcPr>
            <w:tcW w:w="174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69,495,176.39</w:t>
            </w:r>
          </w:p>
        </w:tc>
      </w:tr>
      <w:tr w:rsidR="000A327C" w:rsidRPr="000A327C" w:rsidTr="000A327C">
        <w:trPr>
          <w:trHeight w:val="20"/>
          <w:jc w:val="center"/>
        </w:trPr>
        <w:tc>
          <w:tcPr>
            <w:tcW w:w="489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筹资活动产生的现金流量净额 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33,953,375.32</w:t>
            </w:r>
          </w:p>
        </w:tc>
        <w:tc>
          <w:tcPr>
            <w:tcW w:w="174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2,504,823.61</w:t>
            </w:r>
          </w:p>
        </w:tc>
      </w:tr>
      <w:tr w:rsidR="000A327C" w:rsidRPr="000A327C" w:rsidTr="000A327C">
        <w:trPr>
          <w:trHeight w:val="20"/>
          <w:jc w:val="center"/>
        </w:trPr>
        <w:tc>
          <w:tcPr>
            <w:tcW w:w="489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四、汇率变动对现金及现金等价物的影响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74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63.1</w:t>
            </w:r>
          </w:p>
        </w:tc>
      </w:tr>
      <w:tr w:rsidR="000A327C" w:rsidRPr="000A327C" w:rsidTr="000A327C">
        <w:trPr>
          <w:trHeight w:val="20"/>
          <w:jc w:val="center"/>
        </w:trPr>
        <w:tc>
          <w:tcPr>
            <w:tcW w:w="489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五、现金及现金等价物净增加额 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-28,131,304.33</w:t>
            </w:r>
          </w:p>
        </w:tc>
        <w:tc>
          <w:tcPr>
            <w:tcW w:w="174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18,240,367.42</w:t>
            </w:r>
          </w:p>
        </w:tc>
      </w:tr>
      <w:tr w:rsidR="000A327C" w:rsidRPr="000A327C" w:rsidTr="000A327C">
        <w:trPr>
          <w:trHeight w:val="20"/>
          <w:jc w:val="center"/>
        </w:trPr>
        <w:tc>
          <w:tcPr>
            <w:tcW w:w="489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加：期初现金及现金等价物余额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37,694,359.27</w:t>
            </w:r>
          </w:p>
        </w:tc>
        <w:tc>
          <w:tcPr>
            <w:tcW w:w="174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19,453,991.85</w:t>
            </w:r>
          </w:p>
        </w:tc>
      </w:tr>
      <w:tr w:rsidR="000A327C" w:rsidRPr="000A327C" w:rsidTr="000A327C">
        <w:trPr>
          <w:trHeight w:val="20"/>
          <w:jc w:val="center"/>
        </w:trPr>
        <w:tc>
          <w:tcPr>
            <w:tcW w:w="489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32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六、期末现金及现金等价物余额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9,563,054.94</w:t>
            </w:r>
          </w:p>
        </w:tc>
        <w:tc>
          <w:tcPr>
            <w:tcW w:w="1746" w:type="dxa"/>
            <w:shd w:val="clear" w:color="auto" w:fill="auto"/>
            <w:vAlign w:val="center"/>
            <w:hideMark/>
          </w:tcPr>
          <w:p w:rsidR="000A327C" w:rsidRPr="000A327C" w:rsidRDefault="000A327C" w:rsidP="000A327C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0A327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37,694,359.27</w:t>
            </w:r>
          </w:p>
        </w:tc>
      </w:tr>
    </w:tbl>
    <w:p w:rsidR="000A327C" w:rsidRPr="000A327C" w:rsidRDefault="000A327C">
      <w:pPr>
        <w:rPr>
          <w:rFonts w:hint="eastAsia"/>
          <w:szCs w:val="21"/>
        </w:rPr>
      </w:pPr>
    </w:p>
    <w:p w:rsidR="000A327C" w:rsidRPr="000A327C" w:rsidRDefault="000A327C">
      <w:pPr>
        <w:rPr>
          <w:rFonts w:hint="eastAsia"/>
          <w:szCs w:val="21"/>
        </w:rPr>
      </w:pPr>
      <w:r w:rsidRPr="000A327C">
        <w:rPr>
          <w:rFonts w:hint="eastAsia"/>
          <w:szCs w:val="21"/>
        </w:rPr>
        <w:t>要求：</w:t>
      </w:r>
    </w:p>
    <w:p w:rsidR="000A327C" w:rsidRPr="000A327C" w:rsidRDefault="000A327C">
      <w:pPr>
        <w:rPr>
          <w:rFonts w:hint="eastAsia"/>
          <w:szCs w:val="21"/>
        </w:rPr>
      </w:pPr>
      <w:r w:rsidRPr="000A327C">
        <w:rPr>
          <w:rFonts w:hint="eastAsia"/>
          <w:szCs w:val="21"/>
        </w:rPr>
        <w:lastRenderedPageBreak/>
        <w:t>1.</w:t>
      </w:r>
      <w:r w:rsidRPr="000A327C">
        <w:rPr>
          <w:rFonts w:hint="eastAsia"/>
          <w:szCs w:val="21"/>
        </w:rPr>
        <w:t>分析</w:t>
      </w:r>
      <w:r w:rsidRPr="000A327C">
        <w:rPr>
          <w:rFonts w:hint="eastAsia"/>
          <w:szCs w:val="21"/>
        </w:rPr>
        <w:t>A</w:t>
      </w:r>
      <w:r w:rsidRPr="000A327C">
        <w:rPr>
          <w:rFonts w:hint="eastAsia"/>
          <w:szCs w:val="21"/>
        </w:rPr>
        <w:t>公司的营运能力。</w:t>
      </w:r>
    </w:p>
    <w:p w:rsidR="000A327C" w:rsidRPr="000A327C" w:rsidRDefault="000A327C">
      <w:pPr>
        <w:rPr>
          <w:rFonts w:hint="eastAsia"/>
          <w:szCs w:val="21"/>
        </w:rPr>
      </w:pPr>
      <w:r w:rsidRPr="000A327C">
        <w:rPr>
          <w:rFonts w:hint="eastAsia"/>
          <w:szCs w:val="21"/>
        </w:rPr>
        <w:t>2.</w:t>
      </w:r>
      <w:r w:rsidRPr="000A327C">
        <w:rPr>
          <w:rFonts w:hint="eastAsia"/>
          <w:szCs w:val="21"/>
        </w:rPr>
        <w:t>分析</w:t>
      </w:r>
      <w:r w:rsidRPr="000A327C">
        <w:rPr>
          <w:rFonts w:hint="eastAsia"/>
          <w:szCs w:val="21"/>
        </w:rPr>
        <w:t>A</w:t>
      </w:r>
      <w:r w:rsidRPr="000A327C">
        <w:rPr>
          <w:rFonts w:hint="eastAsia"/>
          <w:szCs w:val="21"/>
        </w:rPr>
        <w:t>公司的盈利能力。</w:t>
      </w:r>
    </w:p>
    <w:p w:rsidR="000A327C" w:rsidRPr="000A327C" w:rsidRDefault="000A327C">
      <w:pPr>
        <w:rPr>
          <w:rFonts w:hint="eastAsia"/>
          <w:szCs w:val="21"/>
        </w:rPr>
      </w:pPr>
      <w:r w:rsidRPr="000A327C">
        <w:rPr>
          <w:rFonts w:hint="eastAsia"/>
          <w:szCs w:val="21"/>
        </w:rPr>
        <w:t>3.</w:t>
      </w:r>
      <w:r w:rsidRPr="000A327C">
        <w:rPr>
          <w:rFonts w:hint="eastAsia"/>
          <w:szCs w:val="21"/>
        </w:rPr>
        <w:t>分析</w:t>
      </w:r>
      <w:r w:rsidRPr="000A327C">
        <w:rPr>
          <w:rFonts w:hint="eastAsia"/>
          <w:szCs w:val="21"/>
        </w:rPr>
        <w:t>A</w:t>
      </w:r>
      <w:r w:rsidRPr="000A327C">
        <w:rPr>
          <w:rFonts w:hint="eastAsia"/>
          <w:szCs w:val="21"/>
        </w:rPr>
        <w:t>公司的偿债能力。</w:t>
      </w:r>
    </w:p>
    <w:p w:rsidR="000A327C" w:rsidRPr="000A327C" w:rsidRDefault="000A327C">
      <w:pPr>
        <w:rPr>
          <w:rFonts w:hint="eastAsia"/>
          <w:szCs w:val="21"/>
        </w:rPr>
      </w:pPr>
      <w:r w:rsidRPr="000A327C">
        <w:rPr>
          <w:rFonts w:hint="eastAsia"/>
          <w:szCs w:val="21"/>
        </w:rPr>
        <w:t>4.</w:t>
      </w:r>
      <w:r w:rsidRPr="000A327C">
        <w:rPr>
          <w:rFonts w:hint="eastAsia"/>
          <w:szCs w:val="21"/>
        </w:rPr>
        <w:t>对</w:t>
      </w:r>
      <w:r w:rsidRPr="000A327C">
        <w:rPr>
          <w:rFonts w:hint="eastAsia"/>
          <w:szCs w:val="21"/>
        </w:rPr>
        <w:t>A</w:t>
      </w:r>
      <w:r w:rsidRPr="000A327C">
        <w:rPr>
          <w:rFonts w:hint="eastAsia"/>
          <w:szCs w:val="21"/>
        </w:rPr>
        <w:t>公司的财务报表进行综合评价。</w:t>
      </w:r>
    </w:p>
    <w:p w:rsidR="000A327C" w:rsidRPr="000A327C" w:rsidRDefault="000A327C">
      <w:pPr>
        <w:rPr>
          <w:rFonts w:hint="eastAsia"/>
          <w:szCs w:val="21"/>
        </w:rPr>
      </w:pPr>
    </w:p>
    <w:p w:rsidR="000A327C" w:rsidRPr="000A327C" w:rsidRDefault="000A327C">
      <w:pPr>
        <w:rPr>
          <w:rFonts w:hint="eastAsia"/>
          <w:szCs w:val="21"/>
        </w:rPr>
      </w:pPr>
      <w:r w:rsidRPr="000A327C">
        <w:rPr>
          <w:rFonts w:hint="eastAsia"/>
          <w:szCs w:val="21"/>
        </w:rPr>
        <w:t>参考答案：</w:t>
      </w:r>
    </w:p>
    <w:p w:rsidR="000A327C" w:rsidRPr="000A327C" w:rsidRDefault="000A327C">
      <w:pPr>
        <w:rPr>
          <w:rFonts w:hint="eastAsia"/>
          <w:szCs w:val="21"/>
        </w:rPr>
      </w:pPr>
      <w:r w:rsidRPr="000A327C">
        <w:rPr>
          <w:rFonts w:hint="eastAsia"/>
          <w:szCs w:val="21"/>
        </w:rPr>
        <w:t>1.A</w:t>
      </w:r>
      <w:r w:rsidRPr="000A327C">
        <w:rPr>
          <w:rFonts w:hint="eastAsia"/>
          <w:szCs w:val="21"/>
        </w:rPr>
        <w:t>公司</w:t>
      </w:r>
      <w:r w:rsidRPr="000A327C">
        <w:rPr>
          <w:rFonts w:hint="eastAsia"/>
          <w:szCs w:val="21"/>
        </w:rPr>
        <w:t>2013-2014</w:t>
      </w:r>
      <w:r w:rsidRPr="000A327C">
        <w:rPr>
          <w:rFonts w:hint="eastAsia"/>
          <w:szCs w:val="21"/>
        </w:rPr>
        <w:t>年应收账款周转率指标如下：</w:t>
      </w:r>
    </w:p>
    <w:p w:rsidR="000A327C" w:rsidRPr="000A327C" w:rsidRDefault="000A327C" w:rsidP="000A327C">
      <w:pPr>
        <w:rPr>
          <w:rFonts w:hint="eastAsia"/>
          <w:szCs w:val="21"/>
        </w:rPr>
      </w:pPr>
      <w:r w:rsidRPr="000A327C">
        <w:rPr>
          <w:rFonts w:hint="eastAsia"/>
          <w:szCs w:val="21"/>
        </w:rPr>
        <w:t>2013</w:t>
      </w:r>
      <w:r w:rsidRPr="000A327C">
        <w:rPr>
          <w:rFonts w:hint="eastAsia"/>
          <w:szCs w:val="21"/>
        </w:rPr>
        <w:t>年应收账款周转率</w:t>
      </w:r>
      <w:r w:rsidRPr="000A327C">
        <w:rPr>
          <w:rFonts w:hint="eastAsia"/>
          <w:szCs w:val="21"/>
        </w:rPr>
        <w:t>=</w:t>
      </w:r>
      <w:r w:rsidRPr="000A327C">
        <w:rPr>
          <w:szCs w:val="21"/>
        </w:rPr>
        <w:t>177,034,094.26</w:t>
      </w:r>
      <w:r w:rsidRPr="000A327C">
        <w:rPr>
          <w:rFonts w:hint="eastAsia"/>
          <w:szCs w:val="21"/>
        </w:rPr>
        <w:t>/</w:t>
      </w:r>
      <w:r w:rsidRPr="000A327C">
        <w:rPr>
          <w:szCs w:val="21"/>
        </w:rPr>
        <w:t>2,071,670.60</w:t>
      </w:r>
      <w:r w:rsidRPr="000A327C">
        <w:rPr>
          <w:rFonts w:hint="eastAsia"/>
          <w:szCs w:val="21"/>
        </w:rPr>
        <w:t>=85.45</w:t>
      </w:r>
    </w:p>
    <w:p w:rsidR="000A327C" w:rsidRPr="000A327C" w:rsidRDefault="000A327C" w:rsidP="000A327C">
      <w:pPr>
        <w:rPr>
          <w:szCs w:val="21"/>
        </w:rPr>
      </w:pPr>
      <w:r w:rsidRPr="000A327C">
        <w:rPr>
          <w:rFonts w:hint="eastAsia"/>
          <w:szCs w:val="21"/>
        </w:rPr>
        <w:t>2014</w:t>
      </w:r>
      <w:r w:rsidRPr="000A327C">
        <w:rPr>
          <w:rFonts w:hint="eastAsia"/>
          <w:szCs w:val="21"/>
        </w:rPr>
        <w:t>年应收账款周转率</w:t>
      </w:r>
      <w:r w:rsidRPr="000A327C">
        <w:rPr>
          <w:rFonts w:hint="eastAsia"/>
          <w:szCs w:val="21"/>
        </w:rPr>
        <w:t>=</w:t>
      </w:r>
      <w:r w:rsidRPr="000A327C">
        <w:rPr>
          <w:szCs w:val="21"/>
        </w:rPr>
        <w:t>162,991,625.58</w:t>
      </w:r>
      <w:r w:rsidRPr="000A327C">
        <w:rPr>
          <w:rFonts w:hint="eastAsia"/>
          <w:szCs w:val="21"/>
        </w:rPr>
        <w:t>/</w:t>
      </w:r>
      <w:r w:rsidRPr="000A327C">
        <w:rPr>
          <w:szCs w:val="21"/>
        </w:rPr>
        <w:t>1,746,676.35</w:t>
      </w:r>
      <w:r w:rsidRPr="000A327C">
        <w:rPr>
          <w:rFonts w:hint="eastAsia"/>
          <w:szCs w:val="21"/>
        </w:rPr>
        <w:t>=93.32</w:t>
      </w:r>
    </w:p>
    <w:p w:rsidR="000A327C" w:rsidRPr="000A327C" w:rsidRDefault="000A327C" w:rsidP="000A327C">
      <w:pPr>
        <w:ind w:firstLineChars="200" w:firstLine="420"/>
        <w:rPr>
          <w:rFonts w:hint="eastAsia"/>
          <w:szCs w:val="21"/>
        </w:rPr>
      </w:pPr>
      <w:r w:rsidRPr="000A327C">
        <w:rPr>
          <w:rFonts w:hint="eastAsia"/>
          <w:szCs w:val="21"/>
        </w:rPr>
        <w:t>从</w:t>
      </w:r>
      <w:r w:rsidRPr="000A327C">
        <w:rPr>
          <w:rFonts w:hint="eastAsia"/>
          <w:szCs w:val="21"/>
        </w:rPr>
        <w:t>A</w:t>
      </w:r>
      <w:r w:rsidRPr="000A327C">
        <w:rPr>
          <w:rFonts w:hint="eastAsia"/>
          <w:szCs w:val="21"/>
        </w:rPr>
        <w:t>公司应收账款周转率来看，</w:t>
      </w:r>
      <w:r w:rsidRPr="000A327C">
        <w:rPr>
          <w:rFonts w:hint="eastAsia"/>
          <w:szCs w:val="21"/>
        </w:rPr>
        <w:t>A</w:t>
      </w:r>
      <w:r w:rsidRPr="000A327C">
        <w:rPr>
          <w:rFonts w:hint="eastAsia"/>
          <w:szCs w:val="21"/>
        </w:rPr>
        <w:t>公司</w:t>
      </w:r>
      <w:r w:rsidRPr="000A327C">
        <w:rPr>
          <w:rFonts w:hint="eastAsia"/>
          <w:szCs w:val="21"/>
        </w:rPr>
        <w:t>2014</w:t>
      </w:r>
      <w:r w:rsidRPr="000A327C">
        <w:rPr>
          <w:rFonts w:hint="eastAsia"/>
          <w:szCs w:val="21"/>
        </w:rPr>
        <w:t>年的营运能力增强。其他营运能力指标参照求出并分析。</w:t>
      </w:r>
    </w:p>
    <w:p w:rsidR="000A327C" w:rsidRPr="000A327C" w:rsidRDefault="000A327C" w:rsidP="000A327C">
      <w:pPr>
        <w:rPr>
          <w:rFonts w:hint="eastAsia"/>
          <w:szCs w:val="21"/>
        </w:rPr>
      </w:pPr>
      <w:r w:rsidRPr="000A327C">
        <w:rPr>
          <w:rFonts w:hint="eastAsia"/>
          <w:szCs w:val="21"/>
        </w:rPr>
        <w:t>2.A</w:t>
      </w:r>
      <w:r w:rsidRPr="000A327C">
        <w:rPr>
          <w:rFonts w:hint="eastAsia"/>
          <w:szCs w:val="21"/>
        </w:rPr>
        <w:t>公司</w:t>
      </w:r>
      <w:r w:rsidRPr="000A327C">
        <w:rPr>
          <w:rFonts w:hint="eastAsia"/>
          <w:szCs w:val="21"/>
        </w:rPr>
        <w:t>2013-2014</w:t>
      </w:r>
      <w:r w:rsidRPr="000A327C">
        <w:rPr>
          <w:rFonts w:hint="eastAsia"/>
          <w:szCs w:val="21"/>
        </w:rPr>
        <w:t>年净资产收益率指标计算如下：</w:t>
      </w:r>
    </w:p>
    <w:p w:rsidR="000A327C" w:rsidRPr="000A327C" w:rsidRDefault="000A327C" w:rsidP="000A327C">
      <w:pPr>
        <w:rPr>
          <w:rFonts w:ascii="Times New Roman" w:eastAsia="宋体" w:hAnsi="Times New Roman" w:cs="Times New Roman" w:hint="eastAsia"/>
          <w:color w:val="000000"/>
          <w:kern w:val="0"/>
          <w:szCs w:val="21"/>
        </w:rPr>
      </w:pPr>
      <w:r w:rsidRPr="000A327C">
        <w:rPr>
          <w:rFonts w:hint="eastAsia"/>
          <w:szCs w:val="21"/>
        </w:rPr>
        <w:t>2013</w:t>
      </w:r>
      <w:r w:rsidRPr="000A327C">
        <w:rPr>
          <w:rFonts w:hint="eastAsia"/>
          <w:szCs w:val="21"/>
        </w:rPr>
        <w:t>年净资产收益率</w:t>
      </w:r>
      <w:r w:rsidRPr="000A327C">
        <w:rPr>
          <w:rFonts w:hint="eastAsia"/>
          <w:szCs w:val="21"/>
        </w:rPr>
        <w:t>=</w:t>
      </w:r>
      <w:r w:rsidRPr="000A327C">
        <w:rPr>
          <w:rFonts w:ascii="Times New Roman" w:eastAsia="宋体" w:hAnsi="Times New Roman" w:cs="Times New Roman"/>
          <w:color w:val="000000"/>
          <w:kern w:val="0"/>
          <w:szCs w:val="21"/>
        </w:rPr>
        <w:t>4,357,222.12</w:t>
      </w:r>
      <w:r w:rsidRPr="000A327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/</w:t>
      </w:r>
      <w:r w:rsidRPr="000A327C">
        <w:rPr>
          <w:rFonts w:ascii="Times New Roman" w:eastAsia="宋体" w:hAnsi="Times New Roman" w:cs="Times New Roman"/>
          <w:color w:val="000000"/>
          <w:kern w:val="0"/>
          <w:szCs w:val="21"/>
        </w:rPr>
        <w:t>113,938,733.73</w:t>
      </w:r>
      <w:r w:rsidRPr="000A327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=0.038</w:t>
      </w:r>
    </w:p>
    <w:p w:rsidR="000A327C" w:rsidRPr="000A327C" w:rsidRDefault="000A327C" w:rsidP="000A327C">
      <w:pPr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A327C">
        <w:rPr>
          <w:rFonts w:hint="eastAsia"/>
          <w:szCs w:val="21"/>
        </w:rPr>
        <w:t>2014</w:t>
      </w:r>
      <w:r w:rsidRPr="000A327C">
        <w:rPr>
          <w:rFonts w:hint="eastAsia"/>
          <w:szCs w:val="21"/>
        </w:rPr>
        <w:t>年净资产收益率</w:t>
      </w:r>
      <w:r w:rsidRPr="000A327C">
        <w:rPr>
          <w:rFonts w:hint="eastAsia"/>
          <w:szCs w:val="21"/>
        </w:rPr>
        <w:t>=</w:t>
      </w:r>
      <w:r w:rsidRPr="000A327C">
        <w:rPr>
          <w:rFonts w:ascii="Times New Roman" w:eastAsia="宋体" w:hAnsi="Times New Roman" w:cs="Times New Roman"/>
          <w:color w:val="000000"/>
          <w:kern w:val="0"/>
          <w:szCs w:val="21"/>
        </w:rPr>
        <w:t>3,725,598.04</w:t>
      </w:r>
      <w:r w:rsidRPr="000A327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/</w:t>
      </w:r>
      <w:r w:rsidRPr="000A327C">
        <w:rPr>
          <w:rFonts w:ascii="Times New Roman" w:eastAsia="宋体" w:hAnsi="Times New Roman" w:cs="Times New Roman"/>
          <w:color w:val="000000"/>
          <w:kern w:val="0"/>
          <w:szCs w:val="21"/>
        </w:rPr>
        <w:t>110,445,930.19</w:t>
      </w:r>
      <w:r w:rsidRPr="000A327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=0.034</w:t>
      </w:r>
    </w:p>
    <w:p w:rsidR="000A327C" w:rsidRPr="000A327C" w:rsidRDefault="000A327C" w:rsidP="000A327C">
      <w:pPr>
        <w:rPr>
          <w:szCs w:val="21"/>
        </w:rPr>
      </w:pPr>
      <w:r w:rsidRPr="000A327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 xml:space="preserve">    </w:t>
      </w:r>
      <w:r w:rsidRPr="000A327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从</w:t>
      </w:r>
      <w:r w:rsidRPr="000A327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A</w:t>
      </w:r>
      <w:r w:rsidRPr="000A327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公司净资产收益率来看，</w:t>
      </w:r>
      <w:r w:rsidRPr="000A327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A</w:t>
      </w:r>
      <w:r w:rsidRPr="000A327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公司</w:t>
      </w:r>
      <w:r w:rsidRPr="000A327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2014</w:t>
      </w:r>
      <w:r w:rsidRPr="000A327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年的盈利能力没有太大变化，仅比</w:t>
      </w:r>
      <w:r w:rsidRPr="000A327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2013</w:t>
      </w:r>
      <w:r w:rsidRPr="000A327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年</w:t>
      </w:r>
      <w:r w:rsidRPr="000A327C">
        <w:rPr>
          <w:rFonts w:hint="eastAsia"/>
          <w:szCs w:val="21"/>
        </w:rPr>
        <w:t>稍有减弱。其他盈利能力指标参照求出并简要分析。</w:t>
      </w:r>
    </w:p>
    <w:p w:rsidR="000A327C" w:rsidRPr="000A327C" w:rsidRDefault="000A327C">
      <w:pPr>
        <w:rPr>
          <w:rFonts w:hint="eastAsia"/>
          <w:szCs w:val="21"/>
        </w:rPr>
      </w:pPr>
      <w:r w:rsidRPr="000A327C">
        <w:rPr>
          <w:rFonts w:hint="eastAsia"/>
          <w:szCs w:val="21"/>
        </w:rPr>
        <w:t>3.A</w:t>
      </w:r>
      <w:r w:rsidRPr="000A327C">
        <w:rPr>
          <w:rFonts w:hint="eastAsia"/>
          <w:szCs w:val="21"/>
        </w:rPr>
        <w:t>公司</w:t>
      </w:r>
      <w:r w:rsidRPr="000A327C">
        <w:rPr>
          <w:rFonts w:hint="eastAsia"/>
          <w:szCs w:val="21"/>
        </w:rPr>
        <w:t>2013-2014</w:t>
      </w:r>
      <w:r w:rsidRPr="000A327C">
        <w:rPr>
          <w:rFonts w:hint="eastAsia"/>
          <w:szCs w:val="21"/>
        </w:rPr>
        <w:t>年流动比率指标计算如下：</w:t>
      </w:r>
    </w:p>
    <w:p w:rsidR="000A327C" w:rsidRPr="000A327C" w:rsidRDefault="000A327C">
      <w:pPr>
        <w:rPr>
          <w:rFonts w:hint="eastAsia"/>
          <w:szCs w:val="21"/>
        </w:rPr>
      </w:pPr>
      <w:r w:rsidRPr="000A327C">
        <w:rPr>
          <w:rFonts w:hint="eastAsia"/>
          <w:szCs w:val="21"/>
        </w:rPr>
        <w:t>2013</w:t>
      </w:r>
      <w:r w:rsidRPr="000A327C">
        <w:rPr>
          <w:rFonts w:hint="eastAsia"/>
          <w:szCs w:val="21"/>
        </w:rPr>
        <w:t>年流动比率</w:t>
      </w:r>
      <w:r w:rsidRPr="000A327C">
        <w:rPr>
          <w:rFonts w:hint="eastAsia"/>
          <w:szCs w:val="21"/>
        </w:rPr>
        <w:t>=</w:t>
      </w:r>
      <w:r w:rsidRPr="000A327C">
        <w:rPr>
          <w:szCs w:val="21"/>
        </w:rPr>
        <w:t>66,400,935.61</w:t>
      </w:r>
      <w:r w:rsidRPr="000A327C">
        <w:rPr>
          <w:rFonts w:hint="eastAsia"/>
          <w:szCs w:val="21"/>
        </w:rPr>
        <w:t>/</w:t>
      </w:r>
      <w:r w:rsidRPr="000A327C">
        <w:rPr>
          <w:szCs w:val="21"/>
        </w:rPr>
        <w:t>51,912,077.45</w:t>
      </w:r>
      <w:r w:rsidRPr="000A327C">
        <w:rPr>
          <w:rFonts w:hint="eastAsia"/>
          <w:szCs w:val="21"/>
        </w:rPr>
        <w:t>=1.28</w:t>
      </w:r>
    </w:p>
    <w:p w:rsidR="000A327C" w:rsidRPr="000A327C" w:rsidRDefault="000A327C" w:rsidP="000A327C">
      <w:pPr>
        <w:rPr>
          <w:szCs w:val="21"/>
        </w:rPr>
      </w:pPr>
      <w:r w:rsidRPr="000A327C">
        <w:rPr>
          <w:rFonts w:hint="eastAsia"/>
          <w:szCs w:val="21"/>
        </w:rPr>
        <w:t>2014</w:t>
      </w:r>
      <w:r w:rsidRPr="000A327C">
        <w:rPr>
          <w:rFonts w:hint="eastAsia"/>
          <w:szCs w:val="21"/>
        </w:rPr>
        <w:t>年流动比率</w:t>
      </w:r>
      <w:r w:rsidRPr="000A327C">
        <w:rPr>
          <w:rFonts w:hint="eastAsia"/>
          <w:szCs w:val="21"/>
        </w:rPr>
        <w:t>=</w:t>
      </w:r>
      <w:r w:rsidRPr="000A327C">
        <w:rPr>
          <w:szCs w:val="21"/>
        </w:rPr>
        <w:t>44,583,775.70</w:t>
      </w:r>
      <w:r w:rsidRPr="000A327C">
        <w:rPr>
          <w:rFonts w:hint="eastAsia"/>
          <w:szCs w:val="21"/>
        </w:rPr>
        <w:t>/</w:t>
      </w:r>
      <w:r w:rsidRPr="000A327C">
        <w:rPr>
          <w:szCs w:val="21"/>
        </w:rPr>
        <w:t>53,201,160.27</w:t>
      </w:r>
      <w:r w:rsidRPr="000A327C">
        <w:rPr>
          <w:rFonts w:hint="eastAsia"/>
          <w:szCs w:val="21"/>
        </w:rPr>
        <w:t>=0.83</w:t>
      </w:r>
    </w:p>
    <w:p w:rsidR="000A327C" w:rsidRPr="000A327C" w:rsidRDefault="000A327C" w:rsidP="000A327C">
      <w:pPr>
        <w:rPr>
          <w:rFonts w:hint="eastAsia"/>
          <w:szCs w:val="21"/>
        </w:rPr>
      </w:pPr>
      <w:r w:rsidRPr="000A327C">
        <w:rPr>
          <w:rFonts w:hint="eastAsia"/>
          <w:szCs w:val="21"/>
        </w:rPr>
        <w:t>从</w:t>
      </w:r>
      <w:r w:rsidRPr="000A327C">
        <w:rPr>
          <w:rFonts w:hint="eastAsia"/>
          <w:szCs w:val="21"/>
        </w:rPr>
        <w:t>A</w:t>
      </w:r>
      <w:r w:rsidRPr="000A327C">
        <w:rPr>
          <w:rFonts w:hint="eastAsia"/>
          <w:szCs w:val="21"/>
        </w:rPr>
        <w:t>公司流动比率来看，</w:t>
      </w:r>
      <w:r w:rsidRPr="000A327C">
        <w:rPr>
          <w:rFonts w:hint="eastAsia"/>
          <w:szCs w:val="21"/>
        </w:rPr>
        <w:t>A</w:t>
      </w:r>
      <w:r w:rsidRPr="000A327C">
        <w:rPr>
          <w:rFonts w:hint="eastAsia"/>
          <w:szCs w:val="21"/>
        </w:rPr>
        <w:t>公司</w:t>
      </w:r>
      <w:r w:rsidRPr="000A327C">
        <w:rPr>
          <w:rFonts w:hint="eastAsia"/>
          <w:szCs w:val="21"/>
        </w:rPr>
        <w:t>2014</w:t>
      </w:r>
      <w:r w:rsidRPr="000A327C">
        <w:rPr>
          <w:rFonts w:hint="eastAsia"/>
          <w:szCs w:val="21"/>
        </w:rPr>
        <w:t>年的短期偿债能力减弱。其他短期偿债能力和长期偿债能力指标参照求出并简要分析。</w:t>
      </w:r>
    </w:p>
    <w:p w:rsidR="000A327C" w:rsidRPr="000A327C" w:rsidRDefault="000A327C">
      <w:pPr>
        <w:rPr>
          <w:rFonts w:hint="eastAsia"/>
          <w:szCs w:val="21"/>
        </w:rPr>
      </w:pPr>
      <w:r w:rsidRPr="000A327C">
        <w:rPr>
          <w:rFonts w:hint="eastAsia"/>
          <w:szCs w:val="21"/>
        </w:rPr>
        <w:t>4.A</w:t>
      </w:r>
      <w:r w:rsidRPr="000A327C">
        <w:rPr>
          <w:rFonts w:hint="eastAsia"/>
          <w:szCs w:val="21"/>
        </w:rPr>
        <w:t>公司</w:t>
      </w:r>
      <w:r w:rsidRPr="000A327C">
        <w:rPr>
          <w:rFonts w:hint="eastAsia"/>
          <w:szCs w:val="21"/>
        </w:rPr>
        <w:t>2013-2014</w:t>
      </w:r>
      <w:r w:rsidRPr="000A327C">
        <w:rPr>
          <w:rFonts w:hint="eastAsia"/>
          <w:szCs w:val="21"/>
        </w:rPr>
        <w:t>年权益净利率的计算如下：</w:t>
      </w:r>
    </w:p>
    <w:p w:rsidR="000A327C" w:rsidRPr="000A327C" w:rsidRDefault="000A327C" w:rsidP="000A327C">
      <w:pPr>
        <w:rPr>
          <w:szCs w:val="21"/>
        </w:rPr>
      </w:pPr>
      <w:r w:rsidRPr="000A327C">
        <w:rPr>
          <w:rFonts w:hint="eastAsia"/>
          <w:szCs w:val="21"/>
        </w:rPr>
        <w:t>2013</w:t>
      </w:r>
      <w:r w:rsidRPr="000A327C">
        <w:rPr>
          <w:rFonts w:hint="eastAsia"/>
          <w:szCs w:val="21"/>
        </w:rPr>
        <w:t>年：销售净利率</w:t>
      </w:r>
      <w:r w:rsidRPr="000A327C">
        <w:rPr>
          <w:rFonts w:hint="eastAsia"/>
          <w:szCs w:val="21"/>
        </w:rPr>
        <w:t>=</w:t>
      </w:r>
      <w:r w:rsidRPr="000A327C">
        <w:rPr>
          <w:szCs w:val="21"/>
        </w:rPr>
        <w:t xml:space="preserve"> 4,357,222.12</w:t>
      </w:r>
      <w:r w:rsidRPr="000A327C">
        <w:rPr>
          <w:rFonts w:hint="eastAsia"/>
          <w:szCs w:val="21"/>
        </w:rPr>
        <w:t>/</w:t>
      </w:r>
      <w:r w:rsidRPr="000A327C">
        <w:rPr>
          <w:szCs w:val="21"/>
        </w:rPr>
        <w:t>177,034,094.26</w:t>
      </w:r>
      <w:r w:rsidRPr="000A327C">
        <w:rPr>
          <w:rFonts w:hint="eastAsia"/>
          <w:szCs w:val="21"/>
        </w:rPr>
        <w:t>=0.025</w:t>
      </w:r>
    </w:p>
    <w:p w:rsidR="000A327C" w:rsidRPr="000A327C" w:rsidRDefault="000A327C">
      <w:pPr>
        <w:rPr>
          <w:rFonts w:hint="eastAsia"/>
          <w:szCs w:val="21"/>
        </w:rPr>
      </w:pPr>
      <w:r w:rsidRPr="000A327C">
        <w:rPr>
          <w:rFonts w:hint="eastAsia"/>
          <w:szCs w:val="21"/>
        </w:rPr>
        <w:t xml:space="preserve">        </w:t>
      </w:r>
      <w:r w:rsidRPr="000A327C">
        <w:rPr>
          <w:rFonts w:hint="eastAsia"/>
          <w:szCs w:val="21"/>
        </w:rPr>
        <w:t>总资产周转率</w:t>
      </w:r>
      <w:r w:rsidRPr="000A327C">
        <w:rPr>
          <w:rFonts w:hint="eastAsia"/>
          <w:szCs w:val="21"/>
        </w:rPr>
        <w:t>=</w:t>
      </w:r>
      <w:r w:rsidRPr="000A327C">
        <w:rPr>
          <w:szCs w:val="21"/>
        </w:rPr>
        <w:t>177,034,094.26</w:t>
      </w:r>
      <w:r w:rsidRPr="000A327C">
        <w:rPr>
          <w:rFonts w:hint="eastAsia"/>
          <w:szCs w:val="21"/>
        </w:rPr>
        <w:t>/</w:t>
      </w:r>
      <w:r w:rsidRPr="000A327C">
        <w:rPr>
          <w:szCs w:val="21"/>
        </w:rPr>
        <w:t>214541123.51</w:t>
      </w:r>
      <w:r w:rsidRPr="000A327C">
        <w:rPr>
          <w:rFonts w:hint="eastAsia"/>
          <w:szCs w:val="21"/>
        </w:rPr>
        <w:t>=0.825</w:t>
      </w:r>
    </w:p>
    <w:p w:rsidR="000A327C" w:rsidRPr="000A327C" w:rsidRDefault="000A327C" w:rsidP="000A327C">
      <w:pPr>
        <w:rPr>
          <w:szCs w:val="21"/>
        </w:rPr>
      </w:pPr>
      <w:r>
        <w:rPr>
          <w:rFonts w:hint="eastAsia"/>
          <w:szCs w:val="21"/>
        </w:rPr>
        <w:t xml:space="preserve">        </w:t>
      </w:r>
      <w:r w:rsidRPr="000A327C">
        <w:rPr>
          <w:rFonts w:hint="eastAsia"/>
          <w:szCs w:val="21"/>
        </w:rPr>
        <w:t>权益乘数</w:t>
      </w:r>
      <w:r w:rsidRPr="000A327C">
        <w:rPr>
          <w:rFonts w:hint="eastAsia"/>
          <w:szCs w:val="21"/>
        </w:rPr>
        <w:t>=</w:t>
      </w:r>
      <w:r w:rsidRPr="000A327C">
        <w:rPr>
          <w:szCs w:val="21"/>
        </w:rPr>
        <w:t>214541123.51</w:t>
      </w:r>
      <w:r w:rsidRPr="000A327C">
        <w:rPr>
          <w:rFonts w:hint="eastAsia"/>
          <w:szCs w:val="21"/>
        </w:rPr>
        <w:t>/</w:t>
      </w:r>
      <w:r w:rsidRPr="000A327C">
        <w:rPr>
          <w:szCs w:val="21"/>
        </w:rPr>
        <w:t>113,938,733.73</w:t>
      </w:r>
      <w:r w:rsidRPr="000A327C">
        <w:rPr>
          <w:rFonts w:hint="eastAsia"/>
          <w:szCs w:val="21"/>
        </w:rPr>
        <w:t>=1.883</w:t>
      </w:r>
    </w:p>
    <w:p w:rsidR="000A327C" w:rsidRPr="000A327C" w:rsidRDefault="000A327C">
      <w:pPr>
        <w:rPr>
          <w:rFonts w:hint="eastAsia"/>
          <w:szCs w:val="21"/>
        </w:rPr>
      </w:pPr>
      <w:r w:rsidRPr="000A327C">
        <w:rPr>
          <w:rFonts w:hint="eastAsia"/>
          <w:szCs w:val="21"/>
        </w:rPr>
        <w:t xml:space="preserve">        </w:t>
      </w:r>
      <w:r w:rsidRPr="000A327C">
        <w:rPr>
          <w:rFonts w:hint="eastAsia"/>
          <w:szCs w:val="21"/>
        </w:rPr>
        <w:t>权益净利率</w:t>
      </w:r>
      <w:r w:rsidRPr="000A327C">
        <w:rPr>
          <w:rFonts w:hint="eastAsia"/>
          <w:szCs w:val="21"/>
        </w:rPr>
        <w:t>=</w:t>
      </w:r>
      <w:r w:rsidRPr="000A327C">
        <w:rPr>
          <w:szCs w:val="21"/>
        </w:rPr>
        <w:t>4,357,222.12</w:t>
      </w:r>
      <w:r w:rsidRPr="000A327C">
        <w:rPr>
          <w:rFonts w:hint="eastAsia"/>
          <w:szCs w:val="21"/>
        </w:rPr>
        <w:t>/</w:t>
      </w:r>
      <w:r w:rsidRPr="000A327C">
        <w:rPr>
          <w:szCs w:val="21"/>
        </w:rPr>
        <w:t>113,938,733.73</w:t>
      </w:r>
      <w:r w:rsidRPr="000A327C">
        <w:rPr>
          <w:rFonts w:hint="eastAsia"/>
          <w:szCs w:val="21"/>
        </w:rPr>
        <w:t>=0.038</w:t>
      </w:r>
    </w:p>
    <w:p w:rsidR="000A327C" w:rsidRPr="000A327C" w:rsidRDefault="000A327C" w:rsidP="000A327C">
      <w:pPr>
        <w:rPr>
          <w:szCs w:val="21"/>
        </w:rPr>
      </w:pPr>
      <w:r w:rsidRPr="000A327C">
        <w:rPr>
          <w:rFonts w:hint="eastAsia"/>
          <w:szCs w:val="21"/>
        </w:rPr>
        <w:t>2014</w:t>
      </w:r>
      <w:r w:rsidRPr="000A327C">
        <w:rPr>
          <w:rFonts w:hint="eastAsia"/>
          <w:szCs w:val="21"/>
        </w:rPr>
        <w:t>年：</w:t>
      </w:r>
      <w:r w:rsidRPr="000A327C">
        <w:rPr>
          <w:rFonts w:hint="eastAsia"/>
          <w:szCs w:val="21"/>
        </w:rPr>
        <w:t>销售净利率</w:t>
      </w:r>
      <w:r w:rsidRPr="000A327C">
        <w:rPr>
          <w:rFonts w:hint="eastAsia"/>
          <w:szCs w:val="21"/>
        </w:rPr>
        <w:t>=</w:t>
      </w:r>
      <w:r w:rsidRPr="000A327C">
        <w:rPr>
          <w:szCs w:val="21"/>
        </w:rPr>
        <w:t xml:space="preserve"> 3,725,598.04</w:t>
      </w:r>
      <w:r w:rsidRPr="000A327C">
        <w:rPr>
          <w:rFonts w:hint="eastAsia"/>
          <w:szCs w:val="21"/>
        </w:rPr>
        <w:t>/</w:t>
      </w:r>
      <w:r w:rsidRPr="000A327C">
        <w:rPr>
          <w:szCs w:val="21"/>
        </w:rPr>
        <w:t>162,991,625.58</w:t>
      </w:r>
      <w:r w:rsidRPr="000A327C">
        <w:rPr>
          <w:rFonts w:hint="eastAsia"/>
          <w:szCs w:val="21"/>
        </w:rPr>
        <w:t>=0.023</w:t>
      </w:r>
    </w:p>
    <w:p w:rsidR="000A327C" w:rsidRPr="000A327C" w:rsidRDefault="000A327C" w:rsidP="000A327C">
      <w:pPr>
        <w:rPr>
          <w:rFonts w:hint="eastAsia"/>
          <w:szCs w:val="21"/>
        </w:rPr>
      </w:pPr>
      <w:r w:rsidRPr="000A327C">
        <w:rPr>
          <w:rFonts w:hint="eastAsia"/>
          <w:szCs w:val="21"/>
        </w:rPr>
        <w:t xml:space="preserve">        </w:t>
      </w:r>
      <w:r w:rsidRPr="000A327C">
        <w:rPr>
          <w:rFonts w:hint="eastAsia"/>
          <w:szCs w:val="21"/>
        </w:rPr>
        <w:t>总资产周转率</w:t>
      </w:r>
      <w:r w:rsidRPr="000A327C">
        <w:rPr>
          <w:rFonts w:hint="eastAsia"/>
          <w:szCs w:val="21"/>
        </w:rPr>
        <w:t>=</w:t>
      </w:r>
      <w:r w:rsidRPr="000A327C">
        <w:rPr>
          <w:szCs w:val="21"/>
        </w:rPr>
        <w:t>162,991,625.58</w:t>
      </w:r>
      <w:r w:rsidRPr="000A327C">
        <w:rPr>
          <w:rFonts w:hint="eastAsia"/>
          <w:szCs w:val="21"/>
        </w:rPr>
        <w:t>/</w:t>
      </w:r>
      <w:r w:rsidRPr="000A327C">
        <w:rPr>
          <w:szCs w:val="21"/>
        </w:rPr>
        <w:t>193906702.03</w:t>
      </w:r>
      <w:r w:rsidRPr="000A327C">
        <w:rPr>
          <w:rFonts w:hint="eastAsia"/>
          <w:szCs w:val="21"/>
        </w:rPr>
        <w:t>=0.840</w:t>
      </w:r>
    </w:p>
    <w:p w:rsidR="000A327C" w:rsidRPr="000A327C" w:rsidRDefault="000A327C" w:rsidP="000A327C">
      <w:pPr>
        <w:rPr>
          <w:szCs w:val="21"/>
        </w:rPr>
      </w:pPr>
      <w:r w:rsidRPr="000A327C">
        <w:rPr>
          <w:rFonts w:hint="eastAsia"/>
          <w:szCs w:val="21"/>
        </w:rPr>
        <w:t xml:space="preserve">        </w:t>
      </w:r>
      <w:r w:rsidRPr="000A327C">
        <w:rPr>
          <w:rFonts w:hint="eastAsia"/>
          <w:szCs w:val="21"/>
        </w:rPr>
        <w:t>权益乘数</w:t>
      </w:r>
      <w:r w:rsidRPr="000A327C">
        <w:rPr>
          <w:rFonts w:hint="eastAsia"/>
          <w:szCs w:val="21"/>
        </w:rPr>
        <w:t>=</w:t>
      </w:r>
      <w:r w:rsidRPr="000A327C">
        <w:rPr>
          <w:szCs w:val="21"/>
        </w:rPr>
        <w:t>193906702.03</w:t>
      </w:r>
      <w:r w:rsidRPr="000A327C">
        <w:rPr>
          <w:rFonts w:hint="eastAsia"/>
          <w:szCs w:val="21"/>
        </w:rPr>
        <w:t>/</w:t>
      </w:r>
      <w:r w:rsidRPr="000A327C">
        <w:rPr>
          <w:szCs w:val="21"/>
        </w:rPr>
        <w:t>110,445,930.19</w:t>
      </w:r>
      <w:r w:rsidRPr="000A327C">
        <w:rPr>
          <w:rFonts w:hint="eastAsia"/>
          <w:szCs w:val="21"/>
        </w:rPr>
        <w:t>=1.756</w:t>
      </w:r>
    </w:p>
    <w:p w:rsidR="000A327C" w:rsidRPr="000A327C" w:rsidRDefault="000A327C" w:rsidP="000A327C">
      <w:pPr>
        <w:rPr>
          <w:szCs w:val="21"/>
        </w:rPr>
      </w:pPr>
      <w:r w:rsidRPr="000A327C">
        <w:rPr>
          <w:rFonts w:hint="eastAsia"/>
          <w:szCs w:val="21"/>
        </w:rPr>
        <w:t xml:space="preserve">        </w:t>
      </w:r>
      <w:r w:rsidRPr="000A327C">
        <w:rPr>
          <w:rFonts w:hint="eastAsia"/>
          <w:szCs w:val="21"/>
        </w:rPr>
        <w:t>权益净利率</w:t>
      </w:r>
      <w:r w:rsidRPr="000A327C">
        <w:rPr>
          <w:rFonts w:hint="eastAsia"/>
          <w:szCs w:val="21"/>
        </w:rPr>
        <w:t>=</w:t>
      </w:r>
      <w:r w:rsidRPr="000A327C">
        <w:rPr>
          <w:szCs w:val="21"/>
        </w:rPr>
        <w:t>3,725,598.04</w:t>
      </w:r>
      <w:r w:rsidRPr="000A327C">
        <w:rPr>
          <w:rFonts w:hint="eastAsia"/>
          <w:szCs w:val="21"/>
        </w:rPr>
        <w:t>/</w:t>
      </w:r>
      <w:r w:rsidRPr="000A327C">
        <w:rPr>
          <w:szCs w:val="21"/>
        </w:rPr>
        <w:t>110,445,930.19</w:t>
      </w:r>
      <w:r w:rsidRPr="000A327C">
        <w:rPr>
          <w:rFonts w:hint="eastAsia"/>
          <w:szCs w:val="21"/>
        </w:rPr>
        <w:t>=0.034</w:t>
      </w:r>
    </w:p>
    <w:p w:rsidR="000A327C" w:rsidRPr="000A327C" w:rsidRDefault="000A327C" w:rsidP="000A327C">
      <w:pPr>
        <w:rPr>
          <w:szCs w:val="21"/>
        </w:rPr>
      </w:pPr>
      <w:r>
        <w:rPr>
          <w:rFonts w:hint="eastAsia"/>
          <w:szCs w:val="21"/>
        </w:rPr>
        <w:t xml:space="preserve">    A</w:t>
      </w:r>
      <w:r>
        <w:rPr>
          <w:rFonts w:hint="eastAsia"/>
          <w:szCs w:val="21"/>
        </w:rPr>
        <w:t>公司</w:t>
      </w:r>
      <w:r>
        <w:rPr>
          <w:rFonts w:hint="eastAsia"/>
          <w:szCs w:val="21"/>
        </w:rPr>
        <w:t>2014</w:t>
      </w:r>
      <w:r>
        <w:rPr>
          <w:rFonts w:hint="eastAsia"/>
          <w:szCs w:val="21"/>
        </w:rPr>
        <w:t>年的权益净利率稍有降低。从该指标的分解结果来看，该指标减少的主要原因是</w:t>
      </w:r>
      <w:r>
        <w:rPr>
          <w:rFonts w:hint="eastAsia"/>
          <w:szCs w:val="21"/>
        </w:rPr>
        <w:t>2014</w:t>
      </w:r>
      <w:r>
        <w:rPr>
          <w:rFonts w:hint="eastAsia"/>
          <w:szCs w:val="21"/>
        </w:rPr>
        <w:t>年公司的权益乘数下降。</w:t>
      </w:r>
    </w:p>
    <w:sectPr w:rsidR="000A327C" w:rsidRPr="000A32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..ì.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27C"/>
    <w:rsid w:val="00017FF8"/>
    <w:rsid w:val="00024839"/>
    <w:rsid w:val="000340B4"/>
    <w:rsid w:val="00034755"/>
    <w:rsid w:val="000356D2"/>
    <w:rsid w:val="00046FA5"/>
    <w:rsid w:val="00060DCA"/>
    <w:rsid w:val="00084133"/>
    <w:rsid w:val="000A327C"/>
    <w:rsid w:val="000C0733"/>
    <w:rsid w:val="000D6E7E"/>
    <w:rsid w:val="000E16A1"/>
    <w:rsid w:val="000E7A65"/>
    <w:rsid w:val="000F0287"/>
    <w:rsid w:val="001150FB"/>
    <w:rsid w:val="00132FA4"/>
    <w:rsid w:val="00141AD8"/>
    <w:rsid w:val="0018156D"/>
    <w:rsid w:val="00186458"/>
    <w:rsid w:val="00197302"/>
    <w:rsid w:val="001A6F13"/>
    <w:rsid w:val="001B304D"/>
    <w:rsid w:val="001B78D1"/>
    <w:rsid w:val="001E76AE"/>
    <w:rsid w:val="001F1ED5"/>
    <w:rsid w:val="001F4388"/>
    <w:rsid w:val="002001BB"/>
    <w:rsid w:val="00207900"/>
    <w:rsid w:val="002700DE"/>
    <w:rsid w:val="00280C7F"/>
    <w:rsid w:val="00290E30"/>
    <w:rsid w:val="00294F17"/>
    <w:rsid w:val="002A652D"/>
    <w:rsid w:val="002C7260"/>
    <w:rsid w:val="002C774C"/>
    <w:rsid w:val="002E3016"/>
    <w:rsid w:val="002F570A"/>
    <w:rsid w:val="002F5EDE"/>
    <w:rsid w:val="003017F4"/>
    <w:rsid w:val="0030432A"/>
    <w:rsid w:val="00313D7E"/>
    <w:rsid w:val="00346F63"/>
    <w:rsid w:val="00357CB0"/>
    <w:rsid w:val="003767D1"/>
    <w:rsid w:val="00382996"/>
    <w:rsid w:val="003932CA"/>
    <w:rsid w:val="003B50D9"/>
    <w:rsid w:val="003C333F"/>
    <w:rsid w:val="00407A46"/>
    <w:rsid w:val="0041789F"/>
    <w:rsid w:val="00435AB0"/>
    <w:rsid w:val="0044677B"/>
    <w:rsid w:val="00471365"/>
    <w:rsid w:val="00472C90"/>
    <w:rsid w:val="00483ED2"/>
    <w:rsid w:val="00485727"/>
    <w:rsid w:val="004A6054"/>
    <w:rsid w:val="004B16A9"/>
    <w:rsid w:val="004C5350"/>
    <w:rsid w:val="004E40C8"/>
    <w:rsid w:val="00504BE0"/>
    <w:rsid w:val="00510FD2"/>
    <w:rsid w:val="00520F28"/>
    <w:rsid w:val="005655B5"/>
    <w:rsid w:val="00575818"/>
    <w:rsid w:val="00582D97"/>
    <w:rsid w:val="00587B8F"/>
    <w:rsid w:val="005932DB"/>
    <w:rsid w:val="005A724A"/>
    <w:rsid w:val="00611E00"/>
    <w:rsid w:val="00615BF6"/>
    <w:rsid w:val="00620766"/>
    <w:rsid w:val="0063238A"/>
    <w:rsid w:val="00686C03"/>
    <w:rsid w:val="006D26CA"/>
    <w:rsid w:val="006D52DD"/>
    <w:rsid w:val="006D5E26"/>
    <w:rsid w:val="006F7CDC"/>
    <w:rsid w:val="00744809"/>
    <w:rsid w:val="00746E67"/>
    <w:rsid w:val="00765CCF"/>
    <w:rsid w:val="00772E96"/>
    <w:rsid w:val="007815F5"/>
    <w:rsid w:val="007839CD"/>
    <w:rsid w:val="007A34E1"/>
    <w:rsid w:val="007A7FBA"/>
    <w:rsid w:val="007B67EF"/>
    <w:rsid w:val="007C6BAB"/>
    <w:rsid w:val="007C7906"/>
    <w:rsid w:val="007D2191"/>
    <w:rsid w:val="007E4E8D"/>
    <w:rsid w:val="007E5EED"/>
    <w:rsid w:val="007F7387"/>
    <w:rsid w:val="00802FFD"/>
    <w:rsid w:val="0082654E"/>
    <w:rsid w:val="00854775"/>
    <w:rsid w:val="008639BA"/>
    <w:rsid w:val="00897757"/>
    <w:rsid w:val="008A0381"/>
    <w:rsid w:val="008B6DE1"/>
    <w:rsid w:val="008E3746"/>
    <w:rsid w:val="008F5F1D"/>
    <w:rsid w:val="0090259D"/>
    <w:rsid w:val="00923E89"/>
    <w:rsid w:val="00971579"/>
    <w:rsid w:val="00972C93"/>
    <w:rsid w:val="009751FE"/>
    <w:rsid w:val="009814C7"/>
    <w:rsid w:val="009B43C4"/>
    <w:rsid w:val="009E2554"/>
    <w:rsid w:val="009E6302"/>
    <w:rsid w:val="00A13BC5"/>
    <w:rsid w:val="00A91345"/>
    <w:rsid w:val="00AA1D76"/>
    <w:rsid w:val="00AC02EA"/>
    <w:rsid w:val="00B02169"/>
    <w:rsid w:val="00B030F9"/>
    <w:rsid w:val="00B43C74"/>
    <w:rsid w:val="00B61F91"/>
    <w:rsid w:val="00B832D9"/>
    <w:rsid w:val="00BA79A9"/>
    <w:rsid w:val="00BB3E2E"/>
    <w:rsid w:val="00BC0272"/>
    <w:rsid w:val="00BC3E3A"/>
    <w:rsid w:val="00BC766A"/>
    <w:rsid w:val="00BD111F"/>
    <w:rsid w:val="00C10906"/>
    <w:rsid w:val="00C31193"/>
    <w:rsid w:val="00C66963"/>
    <w:rsid w:val="00C7386D"/>
    <w:rsid w:val="00C76820"/>
    <w:rsid w:val="00CA119B"/>
    <w:rsid w:val="00CA52D9"/>
    <w:rsid w:val="00CB1D93"/>
    <w:rsid w:val="00CB6639"/>
    <w:rsid w:val="00CD580A"/>
    <w:rsid w:val="00CE605C"/>
    <w:rsid w:val="00CF6789"/>
    <w:rsid w:val="00D14425"/>
    <w:rsid w:val="00D212DA"/>
    <w:rsid w:val="00D3384E"/>
    <w:rsid w:val="00D3483B"/>
    <w:rsid w:val="00D677D3"/>
    <w:rsid w:val="00D778B0"/>
    <w:rsid w:val="00D80559"/>
    <w:rsid w:val="00D81528"/>
    <w:rsid w:val="00D9263D"/>
    <w:rsid w:val="00DB3C45"/>
    <w:rsid w:val="00DD40EF"/>
    <w:rsid w:val="00DE35AD"/>
    <w:rsid w:val="00DF3026"/>
    <w:rsid w:val="00E11A82"/>
    <w:rsid w:val="00E91D7E"/>
    <w:rsid w:val="00EC3580"/>
    <w:rsid w:val="00ED2F6E"/>
    <w:rsid w:val="00EE05C5"/>
    <w:rsid w:val="00EE05FE"/>
    <w:rsid w:val="00EF6F0B"/>
    <w:rsid w:val="00F41198"/>
    <w:rsid w:val="00F860A5"/>
    <w:rsid w:val="00F87291"/>
    <w:rsid w:val="00F9333E"/>
    <w:rsid w:val="00FC02E2"/>
    <w:rsid w:val="00FC1826"/>
    <w:rsid w:val="00FE66AC"/>
    <w:rsid w:val="00FF60B5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0"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287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0F028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F028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F028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0F028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F028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0F0287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F0287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0F0287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0F0287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F0287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semiHidden/>
    <w:rsid w:val="000F0287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0F0287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0F0287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0F0287"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semiHidden/>
    <w:rsid w:val="000F0287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a0"/>
    <w:link w:val="7"/>
    <w:uiPriority w:val="9"/>
    <w:semiHidden/>
    <w:rsid w:val="000F0287"/>
    <w:rPr>
      <w:b/>
      <w:bCs/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0F0287"/>
    <w:rPr>
      <w:rFonts w:asciiTheme="majorHAnsi" w:eastAsiaTheme="majorEastAsia" w:hAnsiTheme="majorHAnsi" w:cstheme="majorBidi"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0F0287"/>
    <w:rPr>
      <w:rFonts w:asciiTheme="majorHAnsi" w:eastAsiaTheme="majorEastAsia" w:hAnsiTheme="majorHAnsi" w:cstheme="majorBidi"/>
      <w:szCs w:val="21"/>
    </w:rPr>
  </w:style>
  <w:style w:type="paragraph" w:styleId="a3">
    <w:name w:val="caption"/>
    <w:basedOn w:val="a"/>
    <w:next w:val="a"/>
    <w:uiPriority w:val="35"/>
    <w:semiHidden/>
    <w:unhideWhenUsed/>
    <w:qFormat/>
    <w:rsid w:val="000F0287"/>
    <w:rPr>
      <w:rFonts w:asciiTheme="majorHAnsi" w:eastAsia="黑体" w:hAnsiTheme="majorHAnsi" w:cstheme="majorBidi"/>
      <w:sz w:val="20"/>
      <w:szCs w:val="20"/>
    </w:rPr>
  </w:style>
  <w:style w:type="paragraph" w:styleId="a4">
    <w:name w:val="Title"/>
    <w:basedOn w:val="a"/>
    <w:next w:val="a"/>
    <w:link w:val="Char"/>
    <w:uiPriority w:val="10"/>
    <w:qFormat/>
    <w:rsid w:val="000F0287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0F0287"/>
    <w:rPr>
      <w:rFonts w:asciiTheme="majorHAnsi" w:eastAsia="宋体" w:hAnsiTheme="majorHAnsi" w:cstheme="majorBidi"/>
      <w:b/>
      <w:bCs/>
      <w:sz w:val="32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0F0287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0"/>
    <w:link w:val="a5"/>
    <w:uiPriority w:val="11"/>
    <w:rsid w:val="000F0287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styleId="a6">
    <w:name w:val="Strong"/>
    <w:uiPriority w:val="22"/>
    <w:qFormat/>
    <w:rsid w:val="000F0287"/>
    <w:rPr>
      <w:b/>
      <w:bCs/>
    </w:rPr>
  </w:style>
  <w:style w:type="character" w:styleId="a7">
    <w:name w:val="Emphasis"/>
    <w:uiPriority w:val="20"/>
    <w:qFormat/>
    <w:rsid w:val="000F0287"/>
    <w:rPr>
      <w:i/>
      <w:iCs/>
    </w:rPr>
  </w:style>
  <w:style w:type="paragraph" w:styleId="a8">
    <w:name w:val="No Spacing"/>
    <w:basedOn w:val="a"/>
    <w:link w:val="Char1"/>
    <w:uiPriority w:val="1"/>
    <w:qFormat/>
    <w:rsid w:val="000F0287"/>
  </w:style>
  <w:style w:type="character" w:customStyle="1" w:styleId="Char1">
    <w:name w:val="无间隔 Char"/>
    <w:basedOn w:val="a0"/>
    <w:link w:val="a8"/>
    <w:uiPriority w:val="1"/>
    <w:rsid w:val="000F0287"/>
  </w:style>
  <w:style w:type="paragraph" w:styleId="a9">
    <w:name w:val="List Paragraph"/>
    <w:basedOn w:val="a"/>
    <w:uiPriority w:val="34"/>
    <w:qFormat/>
    <w:rsid w:val="000F0287"/>
    <w:pPr>
      <w:ind w:firstLineChars="200" w:firstLine="420"/>
    </w:pPr>
  </w:style>
  <w:style w:type="paragraph" w:styleId="aa">
    <w:name w:val="Quote"/>
    <w:basedOn w:val="a"/>
    <w:next w:val="a"/>
    <w:link w:val="Char2"/>
    <w:uiPriority w:val="29"/>
    <w:qFormat/>
    <w:rsid w:val="000F0287"/>
    <w:rPr>
      <w:i/>
      <w:iCs/>
      <w:color w:val="000000" w:themeColor="text1"/>
    </w:rPr>
  </w:style>
  <w:style w:type="character" w:customStyle="1" w:styleId="Char2">
    <w:name w:val="引用 Char"/>
    <w:basedOn w:val="a0"/>
    <w:link w:val="aa"/>
    <w:uiPriority w:val="29"/>
    <w:rsid w:val="000F0287"/>
    <w:rPr>
      <w:i/>
      <w:iCs/>
      <w:color w:val="000000" w:themeColor="text1"/>
    </w:rPr>
  </w:style>
  <w:style w:type="paragraph" w:styleId="ab">
    <w:name w:val="Intense Quote"/>
    <w:basedOn w:val="a"/>
    <w:next w:val="a"/>
    <w:link w:val="Char3"/>
    <w:uiPriority w:val="30"/>
    <w:qFormat/>
    <w:rsid w:val="000F028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3">
    <w:name w:val="明显引用 Char"/>
    <w:basedOn w:val="a0"/>
    <w:link w:val="ab"/>
    <w:uiPriority w:val="30"/>
    <w:rsid w:val="000F0287"/>
    <w:rPr>
      <w:b/>
      <w:bCs/>
      <w:i/>
      <w:iCs/>
      <w:color w:val="4F81BD" w:themeColor="accent1"/>
    </w:rPr>
  </w:style>
  <w:style w:type="character" w:styleId="ac">
    <w:name w:val="Subtle Emphasis"/>
    <w:uiPriority w:val="19"/>
    <w:qFormat/>
    <w:rsid w:val="000F0287"/>
    <w:rPr>
      <w:i/>
      <w:iCs/>
      <w:color w:val="808080" w:themeColor="text1" w:themeTint="7F"/>
    </w:rPr>
  </w:style>
  <w:style w:type="character" w:styleId="ad">
    <w:name w:val="Intense Emphasis"/>
    <w:uiPriority w:val="21"/>
    <w:qFormat/>
    <w:rsid w:val="000F0287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0F0287"/>
    <w:rPr>
      <w:smallCaps/>
      <w:color w:val="C0504D" w:themeColor="accent2"/>
      <w:u w:val="single"/>
    </w:rPr>
  </w:style>
  <w:style w:type="character" w:styleId="af">
    <w:name w:val="Intense Reference"/>
    <w:uiPriority w:val="32"/>
    <w:qFormat/>
    <w:rsid w:val="000F0287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uiPriority w:val="33"/>
    <w:qFormat/>
    <w:rsid w:val="000F0287"/>
    <w:rPr>
      <w:b/>
      <w:bCs/>
      <w:smallCap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0F0287"/>
    <w:pPr>
      <w:outlineLvl w:val="9"/>
    </w:pPr>
  </w:style>
  <w:style w:type="paragraph" w:customStyle="1" w:styleId="Default">
    <w:name w:val="Default"/>
    <w:rsid w:val="000A327C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287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0F028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F028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F028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0F028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F028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0F0287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F0287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0F0287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0F0287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F0287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semiHidden/>
    <w:rsid w:val="000F0287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0F0287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0F0287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0F0287"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semiHidden/>
    <w:rsid w:val="000F0287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a0"/>
    <w:link w:val="7"/>
    <w:uiPriority w:val="9"/>
    <w:semiHidden/>
    <w:rsid w:val="000F0287"/>
    <w:rPr>
      <w:b/>
      <w:bCs/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0F0287"/>
    <w:rPr>
      <w:rFonts w:asciiTheme="majorHAnsi" w:eastAsiaTheme="majorEastAsia" w:hAnsiTheme="majorHAnsi" w:cstheme="majorBidi"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0F0287"/>
    <w:rPr>
      <w:rFonts w:asciiTheme="majorHAnsi" w:eastAsiaTheme="majorEastAsia" w:hAnsiTheme="majorHAnsi" w:cstheme="majorBidi"/>
      <w:szCs w:val="21"/>
    </w:rPr>
  </w:style>
  <w:style w:type="paragraph" w:styleId="a3">
    <w:name w:val="caption"/>
    <w:basedOn w:val="a"/>
    <w:next w:val="a"/>
    <w:uiPriority w:val="35"/>
    <w:semiHidden/>
    <w:unhideWhenUsed/>
    <w:qFormat/>
    <w:rsid w:val="000F0287"/>
    <w:rPr>
      <w:rFonts w:asciiTheme="majorHAnsi" w:eastAsia="黑体" w:hAnsiTheme="majorHAnsi" w:cstheme="majorBidi"/>
      <w:sz w:val="20"/>
      <w:szCs w:val="20"/>
    </w:rPr>
  </w:style>
  <w:style w:type="paragraph" w:styleId="a4">
    <w:name w:val="Title"/>
    <w:basedOn w:val="a"/>
    <w:next w:val="a"/>
    <w:link w:val="Char"/>
    <w:uiPriority w:val="10"/>
    <w:qFormat/>
    <w:rsid w:val="000F0287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0F0287"/>
    <w:rPr>
      <w:rFonts w:asciiTheme="majorHAnsi" w:eastAsia="宋体" w:hAnsiTheme="majorHAnsi" w:cstheme="majorBidi"/>
      <w:b/>
      <w:bCs/>
      <w:sz w:val="32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0F0287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0"/>
    <w:link w:val="a5"/>
    <w:uiPriority w:val="11"/>
    <w:rsid w:val="000F0287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styleId="a6">
    <w:name w:val="Strong"/>
    <w:uiPriority w:val="22"/>
    <w:qFormat/>
    <w:rsid w:val="000F0287"/>
    <w:rPr>
      <w:b/>
      <w:bCs/>
    </w:rPr>
  </w:style>
  <w:style w:type="character" w:styleId="a7">
    <w:name w:val="Emphasis"/>
    <w:uiPriority w:val="20"/>
    <w:qFormat/>
    <w:rsid w:val="000F0287"/>
    <w:rPr>
      <w:i/>
      <w:iCs/>
    </w:rPr>
  </w:style>
  <w:style w:type="paragraph" w:styleId="a8">
    <w:name w:val="No Spacing"/>
    <w:basedOn w:val="a"/>
    <w:link w:val="Char1"/>
    <w:uiPriority w:val="1"/>
    <w:qFormat/>
    <w:rsid w:val="000F0287"/>
  </w:style>
  <w:style w:type="character" w:customStyle="1" w:styleId="Char1">
    <w:name w:val="无间隔 Char"/>
    <w:basedOn w:val="a0"/>
    <w:link w:val="a8"/>
    <w:uiPriority w:val="1"/>
    <w:rsid w:val="000F0287"/>
  </w:style>
  <w:style w:type="paragraph" w:styleId="a9">
    <w:name w:val="List Paragraph"/>
    <w:basedOn w:val="a"/>
    <w:uiPriority w:val="34"/>
    <w:qFormat/>
    <w:rsid w:val="000F0287"/>
    <w:pPr>
      <w:ind w:firstLineChars="200" w:firstLine="420"/>
    </w:pPr>
  </w:style>
  <w:style w:type="paragraph" w:styleId="aa">
    <w:name w:val="Quote"/>
    <w:basedOn w:val="a"/>
    <w:next w:val="a"/>
    <w:link w:val="Char2"/>
    <w:uiPriority w:val="29"/>
    <w:qFormat/>
    <w:rsid w:val="000F0287"/>
    <w:rPr>
      <w:i/>
      <w:iCs/>
      <w:color w:val="000000" w:themeColor="text1"/>
    </w:rPr>
  </w:style>
  <w:style w:type="character" w:customStyle="1" w:styleId="Char2">
    <w:name w:val="引用 Char"/>
    <w:basedOn w:val="a0"/>
    <w:link w:val="aa"/>
    <w:uiPriority w:val="29"/>
    <w:rsid w:val="000F0287"/>
    <w:rPr>
      <w:i/>
      <w:iCs/>
      <w:color w:val="000000" w:themeColor="text1"/>
    </w:rPr>
  </w:style>
  <w:style w:type="paragraph" w:styleId="ab">
    <w:name w:val="Intense Quote"/>
    <w:basedOn w:val="a"/>
    <w:next w:val="a"/>
    <w:link w:val="Char3"/>
    <w:uiPriority w:val="30"/>
    <w:qFormat/>
    <w:rsid w:val="000F028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3">
    <w:name w:val="明显引用 Char"/>
    <w:basedOn w:val="a0"/>
    <w:link w:val="ab"/>
    <w:uiPriority w:val="30"/>
    <w:rsid w:val="000F0287"/>
    <w:rPr>
      <w:b/>
      <w:bCs/>
      <w:i/>
      <w:iCs/>
      <w:color w:val="4F81BD" w:themeColor="accent1"/>
    </w:rPr>
  </w:style>
  <w:style w:type="character" w:styleId="ac">
    <w:name w:val="Subtle Emphasis"/>
    <w:uiPriority w:val="19"/>
    <w:qFormat/>
    <w:rsid w:val="000F0287"/>
    <w:rPr>
      <w:i/>
      <w:iCs/>
      <w:color w:val="808080" w:themeColor="text1" w:themeTint="7F"/>
    </w:rPr>
  </w:style>
  <w:style w:type="character" w:styleId="ad">
    <w:name w:val="Intense Emphasis"/>
    <w:uiPriority w:val="21"/>
    <w:qFormat/>
    <w:rsid w:val="000F0287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0F0287"/>
    <w:rPr>
      <w:smallCaps/>
      <w:color w:val="C0504D" w:themeColor="accent2"/>
      <w:u w:val="single"/>
    </w:rPr>
  </w:style>
  <w:style w:type="character" w:styleId="af">
    <w:name w:val="Intense Reference"/>
    <w:uiPriority w:val="32"/>
    <w:qFormat/>
    <w:rsid w:val="000F0287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uiPriority w:val="33"/>
    <w:qFormat/>
    <w:rsid w:val="000F0287"/>
    <w:rPr>
      <w:b/>
      <w:bCs/>
      <w:smallCap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0F0287"/>
    <w:pPr>
      <w:outlineLvl w:val="9"/>
    </w:pPr>
  </w:style>
  <w:style w:type="paragraph" w:customStyle="1" w:styleId="Default">
    <w:name w:val="Default"/>
    <w:rsid w:val="000A327C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6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739</Words>
  <Characters>4216</Characters>
  <Application>Microsoft Office Word</Application>
  <DocSecurity>0</DocSecurity>
  <Lines>35</Lines>
  <Paragraphs>9</Paragraphs>
  <ScaleCrop>false</ScaleCrop>
  <Company/>
  <LinksUpToDate>false</LinksUpToDate>
  <CharactersWithSpaces>4946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</dc:creator>
  <cp:lastModifiedBy>jj</cp:lastModifiedBy>
  <cp:revision>1</cp:revision>
  <dcterms:created xsi:type="dcterms:W3CDTF">2016-05-03T15:09:00Z</dcterms:created>
  <dcterms:modified xsi:type="dcterms:W3CDTF">2016-05-03T16:05:00Z</dcterms:modified>
</cp:coreProperties>
</file>